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tabs>
          <w:tab w:val="left" w:pos="390" w:leader="none"/>
          <w:tab w:val="center" w:pos="4404" w:leader="none"/>
        </w:tabs>
        <w:rPr>
          <w:rFonts w:hint="eastAsia" w:ascii="宋体" w:hAnsi="宋体" w:cs="宋体"/>
          <w:color w:val="auto"/>
          <w:sz w:val="76"/>
          <w:szCs w:val="76"/>
          <w:highlight w:val="none"/>
        </w:rPr>
      </w:pPr>
      <w:r>
        <w:rPr>
          <w:rFonts w:hint="eastAsia" w:ascii="宋体" w:hAnsi="宋体" w:cs="宋体"/>
          <w:color w:val="auto"/>
          <w:sz w:val="76"/>
          <w:szCs w:val="76"/>
          <w:highlight w:val="none"/>
        </w:rPr>
      </w:r>
      <w:r/>
    </w:p>
    <w:p>
      <w:pPr>
        <w:jc w:val="center"/>
        <w:spacing w:line="360" w:lineRule="auto"/>
        <w:tabs>
          <w:tab w:val="left" w:pos="390" w:leader="none"/>
          <w:tab w:val="center" w:pos="4404" w:leader="none"/>
        </w:tabs>
        <w:rPr>
          <w:rFonts w:hint="eastAsia" w:ascii="宋体" w:hAnsi="宋体" w:cs="宋体"/>
          <w:color w:val="auto"/>
          <w:sz w:val="76"/>
          <w:szCs w:val="76"/>
          <w:highlight w:val="none"/>
        </w:rPr>
      </w:pPr>
      <w:r>
        <w:rPr>
          <w:rFonts w:hint="eastAsia" w:ascii="宋体" w:hAnsi="宋体" w:cs="宋体"/>
          <w:color w:val="auto"/>
          <w:sz w:val="76"/>
          <w:szCs w:val="76"/>
          <w:highlight w:val="none"/>
        </w:rPr>
        <w:t xml:space="preserve">公开招标</w:t>
      </w:r>
      <w:r/>
    </w:p>
    <w:p>
      <w:pPr>
        <w:jc w:val="center"/>
        <w:spacing w:line="360" w:lineRule="auto"/>
        <w:tabs>
          <w:tab w:val="left" w:pos="390" w:leader="none"/>
          <w:tab w:val="center" w:pos="4404" w:leader="none"/>
        </w:tabs>
        <w:rPr>
          <w:rFonts w:hint="eastAsia" w:ascii="宋体" w:hAnsi="宋体" w:cs="宋体"/>
          <w:color w:val="auto"/>
          <w:sz w:val="76"/>
          <w:szCs w:val="76"/>
          <w:highlight w:val="none"/>
        </w:rPr>
      </w:pPr>
      <w:r>
        <w:rPr>
          <w:rFonts w:hint="eastAsia" w:ascii="宋体" w:hAnsi="宋体" w:cs="宋体"/>
          <w:color w:val="auto"/>
          <w:sz w:val="76"/>
          <w:szCs w:val="76"/>
          <w:highlight w:val="none"/>
        </w:rPr>
        <w:t xml:space="preserve">采 购 文 件</w:t>
      </w:r>
      <w:r/>
    </w:p>
    <w:p>
      <w:pPr>
        <w:jc w:val="center"/>
        <w:spacing w:line="360" w:lineRule="auto"/>
        <w:rPr>
          <w:rFonts w:hint="eastAsia" w:ascii="宋体" w:hAnsi="宋体" w:cs="宋体"/>
          <w:color w:val="auto"/>
          <w:sz w:val="44"/>
          <w:highlight w:val="none"/>
        </w:rPr>
      </w:pPr>
      <w:r>
        <w:rPr>
          <w:rFonts w:hint="eastAsia" w:ascii="宋体" w:hAnsi="宋体" w:cs="宋体"/>
          <w:color w:val="auto"/>
          <w:sz w:val="44"/>
          <w:highlight w:val="none"/>
        </w:rPr>
      </w:r>
      <w:r/>
    </w:p>
    <w:tbl>
      <w:tblPr>
        <w:tblStyle w:val="816"/>
        <w:tblW w:w="0" w:type="auto"/>
        <w:tblInd w:w="-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20"/>
      </w:tblGrid>
      <w:tr>
        <w:trPr>
          <w:trHeight w:val="1523"/>
        </w:trPr>
        <w:tc>
          <w:tcPr>
            <w:tcBorders>
              <w:top w:val="none" w:color="000000" w:sz="4" w:space="0"/>
              <w:left w:val="none" w:color="000000" w:sz="4" w:space="0"/>
              <w:bottom w:val="none" w:color="000000" w:sz="4" w:space="0"/>
              <w:right w:val="none" w:color="000000" w:sz="4" w:space="0"/>
            </w:tcBorders>
            <w:tcW w:w="9220" w:type="dxa"/>
            <w:textDirection w:val="lrTb"/>
            <w:noWrap w:val="false"/>
          </w:tcPr>
          <w:p>
            <w:pPr>
              <w:ind w:left="1440" w:hanging="1440"/>
              <w:jc w:val="center"/>
              <w:spacing w:line="360" w:lineRule="auto"/>
              <w:rPr>
                <w:rFonts w:hint="eastAsia" w:ascii="宋体" w:hAnsi="宋体" w:cs="宋体"/>
                <w:color w:val="auto"/>
                <w:sz w:val="32"/>
                <w:szCs w:val="36"/>
                <w:highlight w:val="none"/>
              </w:rPr>
            </w:pPr>
            <w:r>
              <w:rPr>
                <w:rFonts w:hint="eastAsia" w:ascii="宋体" w:hAnsi="宋体" w:cs="宋体"/>
                <w:color w:val="auto"/>
                <w:sz w:val="32"/>
                <w:szCs w:val="36"/>
                <w:highlight w:val="none"/>
              </w:rPr>
              <w:t xml:space="preserve">项目编号：</w:t>
            </w:r>
            <w:r>
              <w:rPr>
                <w:rFonts w:hint="eastAsia" w:ascii="宋体" w:hAnsi="宋体" w:cs="宋体"/>
                <w:color w:val="auto"/>
                <w:sz w:val="32"/>
                <w:szCs w:val="36"/>
                <w:highlight w:val="none"/>
                <w:lang w:val="zh-CN"/>
              </w:rPr>
              <w:t xml:space="preserve">JSZC-320115-NJYP-G2025-0028</w:t>
            </w:r>
            <w:r/>
          </w:p>
          <w:p>
            <w:pPr>
              <w:ind w:left="1440" w:hanging="1440"/>
              <w:jc w:val="center"/>
              <w:spacing w:line="360" w:lineRule="auto"/>
              <w:rPr>
                <w:rFonts w:hint="eastAsia" w:ascii="宋体" w:hAnsi="宋体" w:eastAsia="宋体" w:cs="宋体"/>
                <w:color w:val="auto"/>
                <w:sz w:val="32"/>
                <w:szCs w:val="36"/>
                <w:highlight w:val="none"/>
                <w:lang w:eastAsia="zh-CN"/>
              </w:rPr>
            </w:pPr>
            <w:r>
              <w:rPr>
                <w:rFonts w:hint="eastAsia" w:ascii="宋体" w:hAnsi="宋体" w:cs="宋体"/>
                <w:color w:val="auto"/>
                <w:sz w:val="32"/>
                <w:szCs w:val="36"/>
                <w:highlight w:val="none"/>
              </w:rPr>
              <w:t xml:space="preserve">项目名称：</w:t>
            </w:r>
            <w:r>
              <w:rPr>
                <w:rFonts w:hint="eastAsia" w:ascii="宋体" w:hAnsi="宋体" w:cs="宋体"/>
                <w:color w:val="auto"/>
                <w:sz w:val="32"/>
                <w:szCs w:val="36"/>
                <w:highlight w:val="none"/>
                <w:lang w:eastAsia="zh-CN"/>
              </w:rPr>
              <w:t xml:space="preserve">2026年S122汤山段辅道日常养护服务</w:t>
            </w:r>
            <w:r/>
          </w:p>
          <w:p>
            <w:pPr>
              <w:ind w:left="1620" w:hanging="1620"/>
              <w:jc w:val="center"/>
              <w:spacing w:line="360" w:lineRule="auto"/>
              <w:rPr>
                <w:rFonts w:hint="eastAsia" w:ascii="宋体" w:hAnsi="宋体" w:cs="宋体"/>
                <w:color w:val="auto"/>
                <w:sz w:val="36"/>
                <w:szCs w:val="36"/>
                <w:highlight w:val="none"/>
              </w:rPr>
            </w:pPr>
            <w:r>
              <w:rPr>
                <w:rFonts w:hint="eastAsia" w:ascii="宋体" w:hAnsi="宋体" w:cs="宋体"/>
                <w:color w:val="auto"/>
                <w:sz w:val="36"/>
                <w:szCs w:val="36"/>
                <w:highlight w:val="none"/>
              </w:rPr>
            </w:r>
            <w:r/>
          </w:p>
        </w:tc>
      </w:tr>
    </w:tbl>
    <w:p>
      <w:pPr>
        <w:jc w:val="center"/>
        <w:spacing w:line="360" w:lineRule="auto"/>
        <w:rPr>
          <w:rFonts w:hint="eastAsia" w:ascii="宋体" w:hAnsi="宋体" w:cs="宋体"/>
          <w:color w:val="auto"/>
          <w:sz w:val="44"/>
          <w:highlight w:val="none"/>
        </w:rPr>
      </w:pPr>
      <w:r>
        <w:rPr>
          <w:rFonts w:hint="eastAsia" w:ascii="宋体" w:hAnsi="宋体" w:cs="宋体"/>
          <w:color w:val="auto"/>
          <w:sz w:val="44"/>
          <w:highlight w:val="none"/>
        </w:rPr>
      </w:r>
      <w:r/>
    </w:p>
    <w:p>
      <w:pPr>
        <w:jc w:val="center"/>
        <w:spacing w:line="360" w:lineRule="auto"/>
        <w:rPr>
          <w:rFonts w:hint="eastAsia" w:ascii="宋体" w:hAnsi="宋体" w:cs="宋体"/>
          <w:color w:val="auto"/>
          <w:sz w:val="44"/>
          <w:szCs w:val="44"/>
          <w:highlight w:val="none"/>
        </w:rPr>
      </w:pPr>
      <w:r>
        <w:rPr>
          <w:rFonts w:hint="eastAsia" w:ascii="宋体" w:hAnsi="宋体" w:cs="宋体"/>
          <w:color w:val="auto"/>
          <w:sz w:val="44"/>
          <w:szCs w:val="44"/>
          <w:highlight w:val="none"/>
        </w:rPr>
      </w:r>
      <w:r/>
    </w:p>
    <w:p>
      <w:pPr>
        <w:jc w:val="center"/>
        <w:spacing w:line="360" w:lineRule="auto"/>
        <w:rPr>
          <w:rFonts w:hint="eastAsia" w:ascii="宋体" w:hAnsi="宋体" w:cs="宋体"/>
          <w:color w:val="auto"/>
          <w:sz w:val="44"/>
          <w:szCs w:val="44"/>
          <w:highlight w:val="none"/>
        </w:rPr>
      </w:pPr>
      <w:r>
        <w:rPr>
          <w:rFonts w:hint="eastAsia" w:ascii="宋体" w:hAnsi="宋体" w:cs="宋体"/>
          <w:color w:val="auto"/>
          <w:sz w:val="44"/>
          <w:szCs w:val="44"/>
          <w:highlight w:val="none"/>
        </w:rPr>
      </w:r>
      <w:r/>
    </w:p>
    <w:p>
      <w:pPr>
        <w:jc w:val="center"/>
        <w:spacing w:line="360" w:lineRule="auto"/>
        <w:rPr>
          <w:rFonts w:hint="eastAsia" w:ascii="宋体" w:hAnsi="宋体" w:cs="宋体"/>
          <w:color w:val="auto"/>
          <w:sz w:val="44"/>
          <w:szCs w:val="44"/>
          <w:highlight w:val="none"/>
        </w:rPr>
      </w:pPr>
      <w:r>
        <w:rPr>
          <w:rFonts w:hint="eastAsia" w:ascii="宋体" w:hAnsi="宋体" w:cs="宋体"/>
          <w:color w:val="auto"/>
          <w:sz w:val="44"/>
          <w:szCs w:val="44"/>
          <w:highlight w:val="none"/>
        </w:rPr>
      </w:r>
      <w:r/>
    </w:p>
    <w:p>
      <w:pP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hint="eastAsia" w:ascii="宋体" w:hAnsi="宋体" w:cs="宋体"/>
          <w:color w:val="auto"/>
          <w:sz w:val="36"/>
          <w:szCs w:val="36"/>
          <w:highlight w:val="none"/>
        </w:rPr>
      </w:pPr>
      <w:r>
        <w:rPr>
          <w:rFonts w:hint="eastAsia" w:ascii="宋体" w:hAnsi="宋体" w:cs="宋体"/>
          <w:color w:val="auto"/>
          <w:sz w:val="36"/>
          <w:szCs w:val="36"/>
          <w:highlight w:val="none"/>
        </w:rPr>
        <w:t xml:space="preserve">采购人：</w:t>
      </w:r>
      <w:r>
        <w:rPr>
          <w:rFonts w:hint="eastAsia" w:ascii="宋体" w:hAnsi="宋体" w:cs="宋体"/>
          <w:color w:val="auto"/>
          <w:sz w:val="36"/>
          <w:szCs w:val="36"/>
          <w:highlight w:val="none"/>
        </w:rPr>
        <w:t xml:space="preserve">南京市江宁区交通运输局</w:t>
      </w:r>
      <w:r/>
    </w:p>
    <w:p>
      <w:pPr>
        <w:jc w:val="center"/>
        <w:spacing w:line="360" w:lineRule="auto"/>
        <w:rPr>
          <w:rFonts w:hint="eastAsia" w:ascii="宋体" w:hAnsi="宋体" w:cs="宋体"/>
          <w:color w:val="auto"/>
          <w:sz w:val="44"/>
          <w:highlight w:val="none"/>
        </w:rPr>
      </w:pPr>
      <w:r>
        <w:rPr>
          <w:rFonts w:hint="eastAsia" w:ascii="宋体" w:hAnsi="宋体" w:cs="宋体"/>
          <w:color w:val="auto"/>
          <w:sz w:val="36"/>
          <w:szCs w:val="36"/>
          <w:highlight w:val="none"/>
        </w:rPr>
        <w:t xml:space="preserve">采购代理机构：南京永平建设项目管理有限公司</w:t>
      </w:r>
      <w:r/>
    </w:p>
    <w:p>
      <w:pPr>
        <w:jc w:val="center"/>
        <w:spacing w:line="360" w:lineRule="auto"/>
        <w:rPr>
          <w:rFonts w:hint="eastAsia" w:ascii="宋体" w:hAnsi="宋体" w:cs="宋体"/>
          <w:color w:val="auto"/>
          <w:sz w:val="36"/>
          <w:szCs w:val="36"/>
          <w:highlight w:val="none"/>
        </w:rPr>
        <w:sectPr>
          <w:headerReference w:type="default" r:id="rId9"/>
          <w:footnotePr/>
          <w:endnotePr/>
          <w:type w:val="nextPage"/>
          <w:pgSz w:w="11906" w:h="16838" w:orient="portrait"/>
          <w:pgMar w:top="1417" w:right="1134" w:bottom="1247" w:left="1304" w:header="851" w:footer="992" w:gutter="0"/>
          <w:cols w:num="1" w:sep="0" w:space="720" w:equalWidth="1"/>
          <w:docGrid w:linePitch="360"/>
        </w:sectPr>
      </w:pPr>
      <w:r>
        <w:rPr>
          <w:rFonts w:hint="eastAsia" w:ascii="宋体" w:hAnsi="宋体" w:cs="宋体"/>
          <w:color w:val="auto"/>
          <w:sz w:val="36"/>
          <w:szCs w:val="36"/>
          <w:highlight w:val="none"/>
        </w:rPr>
        <w:t xml:space="preserve">二</w:t>
      </w:r>
      <w:bookmarkStart w:id="0" w:name="_Hlk37241689"/>
      <w:r>
        <w:rPr>
          <w:rFonts w:hint="eastAsia" w:ascii="宋体" w:hAnsi="宋体" w:cs="宋体"/>
          <w:color w:val="auto"/>
          <w:sz w:val="36"/>
          <w:szCs w:val="36"/>
          <w:highlight w:val="none"/>
        </w:rPr>
        <w:t xml:space="preserve">〇</w:t>
      </w:r>
      <w:bookmarkEnd w:id="0"/>
      <w:r>
        <w:rPr>
          <w:rFonts w:hint="eastAsia" w:ascii="宋体" w:hAnsi="宋体" w:cs="宋体"/>
          <w:color w:val="auto"/>
          <w:sz w:val="36"/>
          <w:szCs w:val="36"/>
          <w:highlight w:val="none"/>
        </w:rPr>
        <w:t xml:space="preserve">二五年十二月</w:t>
      </w:r>
      <w:r/>
    </w:p>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目 录</w:t>
      </w:r>
      <w:r/>
    </w:p>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830"/>
        <w:spacing w:line="360" w:lineRule="auto"/>
        <w:tabs>
          <w:tab w:val="clear" w:pos="8456" w:leader="none"/>
          <w:tab w:val="right" w:pos="9468" w:leader="dot"/>
        </w:tabs>
        <w:rPr>
          <w:color w:val="auto"/>
          <w:sz w:val="28"/>
          <w:szCs w:val="28"/>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TOC \o "1-1" \h \u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HYPERLINK \l _Toc3753 </w:instrText>
      </w:r>
      <w:r>
        <w:rPr>
          <w:rFonts w:hint="eastAsia" w:ascii="宋体" w:hAnsi="宋体" w:cs="宋体"/>
          <w:color w:val="auto"/>
          <w:sz w:val="28"/>
          <w:szCs w:val="28"/>
          <w:highlight w:val="none"/>
        </w:rPr>
        <w:fldChar w:fldCharType="separate"/>
      </w:r>
      <w:r>
        <w:rPr>
          <w:rFonts w:hint="eastAsia" w:eastAsia="宋体"/>
          <w:color w:val="auto"/>
          <w:sz w:val="28"/>
          <w:szCs w:val="28"/>
          <w:lang w:val="zh-CN"/>
        </w:rPr>
        <w:t xml:space="preserve">第一章 招标公告</w:t>
      </w:r>
      <w:r>
        <w:rPr>
          <w:color w:val="auto"/>
          <w:sz w:val="28"/>
          <w:szCs w:val="28"/>
        </w:rPr>
        <w:tab/>
      </w:r>
      <w:r>
        <w:rPr>
          <w:color w:val="auto"/>
          <w:sz w:val="28"/>
          <w:szCs w:val="28"/>
        </w:rPr>
        <w:fldChar w:fldCharType="begin"/>
      </w:r>
      <w:r>
        <w:rPr>
          <w:color w:val="auto"/>
          <w:sz w:val="28"/>
          <w:szCs w:val="28"/>
        </w:rPr>
        <w:instrText xml:space="preserve"> PAGEREF _Toc3753 \h </w:instrText>
      </w:r>
      <w:r>
        <w:rPr>
          <w:color w:val="auto"/>
          <w:sz w:val="28"/>
          <w:szCs w:val="28"/>
        </w:rPr>
        <w:fldChar w:fldCharType="separate"/>
      </w:r>
      <w:r>
        <w:rPr>
          <w:color w:val="auto"/>
          <w:sz w:val="28"/>
          <w:szCs w:val="28"/>
        </w:rPr>
        <w:t xml:space="preserve">2</w:t>
      </w:r>
      <w:r>
        <w:rPr>
          <w:color w:val="auto"/>
          <w:sz w:val="28"/>
          <w:szCs w:val="28"/>
        </w:rPr>
        <w:fldChar w:fldCharType="end"/>
      </w:r>
      <w:r>
        <w:rPr>
          <w:rFonts w:hint="eastAsia" w:ascii="宋体" w:hAnsi="宋体" w:cs="宋体"/>
          <w:color w:val="auto"/>
          <w:sz w:val="28"/>
          <w:szCs w:val="28"/>
          <w:highlight w:val="none"/>
        </w:rPr>
        <w:fldChar w:fldCharType="end"/>
      </w:r>
      <w:r/>
    </w:p>
    <w:p>
      <w:pPr>
        <w:pStyle w:val="830"/>
        <w:spacing w:line="360" w:lineRule="auto"/>
        <w:tabs>
          <w:tab w:val="clear" w:pos="8456" w:leader="none"/>
          <w:tab w:val="right" w:pos="9468" w:leader="dot"/>
        </w:tabs>
        <w:rPr>
          <w:color w:val="auto"/>
          <w:sz w:val="28"/>
          <w:szCs w:val="28"/>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HYPERLINK \l _Toc18265 </w:instrText>
      </w:r>
      <w:r>
        <w:rPr>
          <w:rFonts w:hint="eastAsia" w:ascii="宋体" w:hAnsi="宋体" w:cs="宋体"/>
          <w:color w:val="auto"/>
          <w:sz w:val="28"/>
          <w:szCs w:val="28"/>
          <w:highlight w:val="none"/>
        </w:rPr>
        <w:fldChar w:fldCharType="separate"/>
      </w:r>
      <w:r>
        <w:rPr>
          <w:rFonts w:hint="eastAsia"/>
          <w:color w:val="auto"/>
          <w:sz w:val="28"/>
          <w:szCs w:val="28"/>
          <w:lang w:val="zh-CN"/>
        </w:rPr>
        <w:t xml:space="preserve">第二章 供应商须知</w:t>
      </w:r>
      <w:r>
        <w:rPr>
          <w:color w:val="auto"/>
          <w:sz w:val="28"/>
          <w:szCs w:val="28"/>
        </w:rPr>
        <w:tab/>
      </w:r>
      <w:r>
        <w:rPr>
          <w:color w:val="auto"/>
          <w:sz w:val="28"/>
          <w:szCs w:val="28"/>
        </w:rPr>
        <w:fldChar w:fldCharType="begin"/>
      </w:r>
      <w:r>
        <w:rPr>
          <w:color w:val="auto"/>
          <w:sz w:val="28"/>
          <w:szCs w:val="28"/>
        </w:rPr>
        <w:instrText xml:space="preserve"> PAGEREF _Toc18265 \h </w:instrText>
      </w:r>
      <w:r>
        <w:rPr>
          <w:color w:val="auto"/>
          <w:sz w:val="28"/>
          <w:szCs w:val="28"/>
        </w:rPr>
        <w:fldChar w:fldCharType="separate"/>
      </w:r>
      <w:r>
        <w:rPr>
          <w:color w:val="auto"/>
          <w:sz w:val="28"/>
          <w:szCs w:val="28"/>
        </w:rPr>
        <w:t xml:space="preserve">7</w:t>
      </w:r>
      <w:r>
        <w:rPr>
          <w:color w:val="auto"/>
          <w:sz w:val="28"/>
          <w:szCs w:val="28"/>
        </w:rPr>
        <w:fldChar w:fldCharType="end"/>
      </w:r>
      <w:r>
        <w:rPr>
          <w:rFonts w:hint="eastAsia" w:ascii="宋体" w:hAnsi="宋体" w:cs="宋体"/>
          <w:color w:val="auto"/>
          <w:sz w:val="28"/>
          <w:szCs w:val="28"/>
          <w:highlight w:val="none"/>
        </w:rPr>
        <w:fldChar w:fldCharType="end"/>
      </w:r>
      <w:r/>
    </w:p>
    <w:p>
      <w:pPr>
        <w:pStyle w:val="830"/>
        <w:spacing w:line="360" w:lineRule="auto"/>
        <w:tabs>
          <w:tab w:val="clear" w:pos="8456" w:leader="none"/>
          <w:tab w:val="right" w:pos="9468" w:leader="dot"/>
        </w:tabs>
        <w:rPr>
          <w:color w:val="auto"/>
          <w:sz w:val="28"/>
          <w:szCs w:val="28"/>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HYPERLINK \l _Toc30052 </w:instrText>
      </w:r>
      <w:r>
        <w:rPr>
          <w:rFonts w:hint="eastAsia" w:ascii="宋体" w:hAnsi="宋体" w:cs="宋体"/>
          <w:color w:val="auto"/>
          <w:sz w:val="28"/>
          <w:szCs w:val="28"/>
          <w:highlight w:val="none"/>
        </w:rPr>
        <w:fldChar w:fldCharType="separate"/>
      </w:r>
      <w:r>
        <w:rPr>
          <w:rFonts w:hint="eastAsia"/>
          <w:color w:val="auto"/>
          <w:sz w:val="28"/>
          <w:szCs w:val="28"/>
          <w:lang w:val="zh-CN"/>
        </w:rPr>
        <w:t xml:space="preserve">第三章 评标标准</w:t>
      </w:r>
      <w:r>
        <w:rPr>
          <w:color w:val="auto"/>
          <w:sz w:val="28"/>
          <w:szCs w:val="28"/>
        </w:rPr>
        <w:tab/>
      </w:r>
      <w:r>
        <w:rPr>
          <w:color w:val="auto"/>
          <w:sz w:val="28"/>
          <w:szCs w:val="28"/>
        </w:rPr>
        <w:fldChar w:fldCharType="begin"/>
      </w:r>
      <w:r>
        <w:rPr>
          <w:color w:val="auto"/>
          <w:sz w:val="28"/>
          <w:szCs w:val="28"/>
        </w:rPr>
        <w:instrText xml:space="preserve"> PAGEREF _Toc30052 \h </w:instrText>
      </w:r>
      <w:r>
        <w:rPr>
          <w:color w:val="auto"/>
          <w:sz w:val="28"/>
          <w:szCs w:val="28"/>
        </w:rPr>
        <w:fldChar w:fldCharType="separate"/>
      </w:r>
      <w:r>
        <w:rPr>
          <w:color w:val="auto"/>
          <w:sz w:val="28"/>
          <w:szCs w:val="28"/>
        </w:rPr>
        <w:t xml:space="preserve">18</w:t>
      </w:r>
      <w:r>
        <w:rPr>
          <w:color w:val="auto"/>
          <w:sz w:val="28"/>
          <w:szCs w:val="28"/>
        </w:rPr>
        <w:fldChar w:fldCharType="end"/>
      </w:r>
      <w:r>
        <w:rPr>
          <w:rFonts w:hint="eastAsia" w:ascii="宋体" w:hAnsi="宋体" w:cs="宋体"/>
          <w:color w:val="auto"/>
          <w:sz w:val="28"/>
          <w:szCs w:val="28"/>
          <w:highlight w:val="none"/>
        </w:rPr>
        <w:fldChar w:fldCharType="end"/>
      </w:r>
      <w:r/>
    </w:p>
    <w:p>
      <w:pPr>
        <w:pStyle w:val="830"/>
        <w:spacing w:line="360" w:lineRule="auto"/>
        <w:tabs>
          <w:tab w:val="clear" w:pos="8456" w:leader="none"/>
          <w:tab w:val="right" w:pos="9468" w:leader="dot"/>
        </w:tabs>
        <w:rPr>
          <w:color w:val="auto"/>
          <w:sz w:val="28"/>
          <w:szCs w:val="28"/>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HYPERLINK \l _Toc13215 </w:instrText>
      </w:r>
      <w:r>
        <w:rPr>
          <w:rFonts w:hint="eastAsia" w:ascii="宋体" w:hAnsi="宋体" w:cs="宋体"/>
          <w:color w:val="auto"/>
          <w:sz w:val="28"/>
          <w:szCs w:val="28"/>
          <w:highlight w:val="none"/>
        </w:rPr>
        <w:fldChar w:fldCharType="separate"/>
      </w:r>
      <w:r>
        <w:rPr>
          <w:rFonts w:hint="eastAsia"/>
          <w:color w:val="auto"/>
          <w:sz w:val="28"/>
          <w:szCs w:val="28"/>
          <w:lang w:val="zh-CN"/>
        </w:rPr>
        <w:t xml:space="preserve">第四章 采购项目需求</w:t>
      </w:r>
      <w:r>
        <w:rPr>
          <w:color w:val="auto"/>
          <w:sz w:val="28"/>
          <w:szCs w:val="28"/>
        </w:rPr>
        <w:tab/>
      </w:r>
      <w:r>
        <w:rPr>
          <w:color w:val="auto"/>
          <w:sz w:val="28"/>
          <w:szCs w:val="28"/>
        </w:rPr>
        <w:fldChar w:fldCharType="begin"/>
      </w:r>
      <w:r>
        <w:rPr>
          <w:color w:val="auto"/>
          <w:sz w:val="28"/>
          <w:szCs w:val="28"/>
        </w:rPr>
        <w:instrText xml:space="preserve"> PAGEREF _Toc13215 \h </w:instrText>
      </w:r>
      <w:r>
        <w:rPr>
          <w:color w:val="auto"/>
          <w:sz w:val="28"/>
          <w:szCs w:val="28"/>
        </w:rPr>
        <w:fldChar w:fldCharType="separate"/>
      </w:r>
      <w:r>
        <w:rPr>
          <w:color w:val="auto"/>
          <w:sz w:val="28"/>
          <w:szCs w:val="28"/>
        </w:rPr>
        <w:t xml:space="preserve">22</w:t>
      </w:r>
      <w:r>
        <w:rPr>
          <w:color w:val="auto"/>
          <w:sz w:val="28"/>
          <w:szCs w:val="28"/>
        </w:rPr>
        <w:fldChar w:fldCharType="end"/>
      </w:r>
      <w:r>
        <w:rPr>
          <w:rFonts w:hint="eastAsia" w:ascii="宋体" w:hAnsi="宋体" w:cs="宋体"/>
          <w:color w:val="auto"/>
          <w:sz w:val="28"/>
          <w:szCs w:val="28"/>
          <w:highlight w:val="none"/>
        </w:rPr>
        <w:fldChar w:fldCharType="end"/>
      </w:r>
      <w:r/>
    </w:p>
    <w:p>
      <w:pPr>
        <w:pStyle w:val="830"/>
        <w:spacing w:line="360" w:lineRule="auto"/>
        <w:tabs>
          <w:tab w:val="clear" w:pos="8456" w:leader="none"/>
          <w:tab w:val="right" w:pos="9468" w:leader="dot"/>
        </w:tabs>
        <w:rPr>
          <w:color w:val="auto"/>
          <w:sz w:val="28"/>
          <w:szCs w:val="28"/>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HYPERLINK \l _Toc28109 </w:instrText>
      </w:r>
      <w:r>
        <w:rPr>
          <w:rFonts w:hint="eastAsia" w:ascii="宋体" w:hAnsi="宋体" w:cs="宋体"/>
          <w:color w:val="auto"/>
          <w:sz w:val="28"/>
          <w:szCs w:val="28"/>
          <w:highlight w:val="none"/>
        </w:rPr>
        <w:fldChar w:fldCharType="separate"/>
      </w:r>
      <w:r>
        <w:rPr>
          <w:rFonts w:hint="eastAsia"/>
          <w:color w:val="auto"/>
          <w:sz w:val="28"/>
          <w:szCs w:val="28"/>
          <w:highlight w:val="none"/>
          <w:lang w:val="zh-CN"/>
        </w:rPr>
        <w:t xml:space="preserve">第五章</w:t>
      </w:r>
      <w:r>
        <w:rPr>
          <w:rFonts w:hint="eastAsia"/>
          <w:color w:val="auto"/>
          <w:sz w:val="28"/>
          <w:szCs w:val="28"/>
          <w:highlight w:val="none"/>
        </w:rPr>
        <w:t xml:space="preserve"> </w:t>
      </w:r>
      <w:r>
        <w:rPr>
          <w:rFonts w:hint="eastAsia"/>
          <w:color w:val="auto"/>
          <w:sz w:val="28"/>
          <w:szCs w:val="28"/>
          <w:highlight w:val="none"/>
          <w:lang w:val="zh-CN"/>
        </w:rPr>
        <w:t xml:space="preserve">合同主要条款及格式</w:t>
      </w:r>
      <w:r>
        <w:rPr>
          <w:color w:val="auto"/>
          <w:sz w:val="28"/>
          <w:szCs w:val="28"/>
        </w:rPr>
        <w:tab/>
      </w:r>
      <w:r>
        <w:rPr>
          <w:color w:val="auto"/>
          <w:sz w:val="28"/>
          <w:szCs w:val="28"/>
        </w:rPr>
        <w:fldChar w:fldCharType="begin"/>
      </w:r>
      <w:r>
        <w:rPr>
          <w:color w:val="auto"/>
          <w:sz w:val="28"/>
          <w:szCs w:val="28"/>
        </w:rPr>
        <w:instrText xml:space="preserve"> PAGEREF _Toc28109 \h </w:instrText>
      </w:r>
      <w:r>
        <w:rPr>
          <w:color w:val="auto"/>
          <w:sz w:val="28"/>
          <w:szCs w:val="28"/>
        </w:rPr>
        <w:fldChar w:fldCharType="separate"/>
      </w:r>
      <w:r>
        <w:rPr>
          <w:color w:val="auto"/>
          <w:sz w:val="28"/>
          <w:szCs w:val="28"/>
        </w:rPr>
        <w:t xml:space="preserve">36</w:t>
      </w:r>
      <w:r>
        <w:rPr>
          <w:color w:val="auto"/>
          <w:sz w:val="28"/>
          <w:szCs w:val="28"/>
        </w:rPr>
        <w:fldChar w:fldCharType="end"/>
      </w:r>
      <w:r>
        <w:rPr>
          <w:rFonts w:hint="eastAsia" w:ascii="宋体" w:hAnsi="宋体" w:cs="宋体"/>
          <w:color w:val="auto"/>
          <w:sz w:val="28"/>
          <w:szCs w:val="28"/>
          <w:highlight w:val="none"/>
        </w:rPr>
        <w:fldChar w:fldCharType="end"/>
      </w:r>
      <w:r/>
    </w:p>
    <w:p>
      <w:pPr>
        <w:pStyle w:val="830"/>
        <w:spacing w:line="360" w:lineRule="auto"/>
        <w:tabs>
          <w:tab w:val="clear" w:pos="8456" w:leader="none"/>
          <w:tab w:val="right" w:pos="9468" w:leader="dot"/>
        </w:tabs>
        <w:rPr>
          <w:color w:val="auto"/>
          <w:sz w:val="28"/>
          <w:szCs w:val="28"/>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HYPERLINK \l _Toc14035 </w:instrText>
      </w:r>
      <w:r>
        <w:rPr>
          <w:rFonts w:hint="eastAsia" w:ascii="宋体" w:hAnsi="宋体" w:cs="宋体"/>
          <w:color w:val="auto"/>
          <w:sz w:val="28"/>
          <w:szCs w:val="28"/>
          <w:highlight w:val="none"/>
        </w:rPr>
        <w:fldChar w:fldCharType="separate"/>
      </w:r>
      <w:r>
        <w:rPr>
          <w:rFonts w:hint="eastAsia"/>
          <w:color w:val="auto"/>
          <w:sz w:val="28"/>
          <w:szCs w:val="28"/>
          <w:lang w:val="zh-CN"/>
        </w:rPr>
        <w:t xml:space="preserve">第</w:t>
      </w:r>
      <w:r>
        <w:rPr>
          <w:rFonts w:hint="eastAsia"/>
          <w:color w:val="auto"/>
          <w:sz w:val="28"/>
          <w:szCs w:val="28"/>
          <w:lang w:val="en-US" w:eastAsia="zh-CN"/>
        </w:rPr>
        <w:t xml:space="preserve">六</w:t>
      </w:r>
      <w:r>
        <w:rPr>
          <w:rFonts w:hint="eastAsia"/>
          <w:color w:val="auto"/>
          <w:sz w:val="28"/>
          <w:szCs w:val="28"/>
          <w:lang w:val="zh-CN"/>
        </w:rPr>
        <w:t xml:space="preserve">章 投标文件格式及附件</w:t>
      </w:r>
      <w:r>
        <w:rPr>
          <w:color w:val="auto"/>
          <w:sz w:val="28"/>
          <w:szCs w:val="28"/>
        </w:rPr>
        <w:tab/>
      </w:r>
      <w:r>
        <w:rPr>
          <w:color w:val="auto"/>
          <w:sz w:val="28"/>
          <w:szCs w:val="28"/>
        </w:rPr>
        <w:fldChar w:fldCharType="begin"/>
      </w:r>
      <w:r>
        <w:rPr>
          <w:color w:val="auto"/>
          <w:sz w:val="28"/>
          <w:szCs w:val="28"/>
        </w:rPr>
        <w:instrText xml:space="preserve"> PAGEREF _Toc14035 \h </w:instrText>
      </w:r>
      <w:r>
        <w:rPr>
          <w:color w:val="auto"/>
          <w:sz w:val="28"/>
          <w:szCs w:val="28"/>
        </w:rPr>
        <w:fldChar w:fldCharType="separate"/>
      </w:r>
      <w:r>
        <w:rPr>
          <w:color w:val="auto"/>
          <w:sz w:val="28"/>
          <w:szCs w:val="28"/>
        </w:rPr>
        <w:t xml:space="preserve">51</w:t>
      </w:r>
      <w:r>
        <w:rPr>
          <w:color w:val="auto"/>
          <w:sz w:val="28"/>
          <w:szCs w:val="28"/>
        </w:rPr>
        <w:fldChar w:fldCharType="end"/>
      </w:r>
      <w:r>
        <w:rPr>
          <w:rFonts w:hint="eastAsia" w:ascii="宋体" w:hAnsi="宋体" w:cs="宋体"/>
          <w:color w:val="auto"/>
          <w:sz w:val="28"/>
          <w:szCs w:val="28"/>
          <w:highlight w:val="none"/>
        </w:rPr>
        <w:fldChar w:fldCharType="end"/>
      </w:r>
      <w:r/>
    </w:p>
    <w:p>
      <w:pPr>
        <w:pStyle w:val="830"/>
        <w:spacing w:line="360" w:lineRule="auto"/>
        <w:tabs>
          <w:tab w:val="clear" w:pos="8456" w:leader="none"/>
          <w:tab w:val="right" w:pos="9468" w:leader="dot"/>
        </w:tabs>
        <w:rPr>
          <w:color w:val="auto"/>
          <w:sz w:val="28"/>
          <w:szCs w:val="28"/>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HYPERLINK \l _Toc12926 </w:instrText>
      </w:r>
      <w:r>
        <w:rPr>
          <w:rFonts w:hint="eastAsia" w:ascii="宋体" w:hAnsi="宋体" w:cs="宋体"/>
          <w:color w:val="auto"/>
          <w:sz w:val="28"/>
          <w:szCs w:val="28"/>
          <w:highlight w:val="none"/>
        </w:rPr>
        <w:fldChar w:fldCharType="separate"/>
      </w:r>
      <w:r>
        <w:rPr>
          <w:rFonts w:hint="eastAsia"/>
          <w:color w:val="auto"/>
          <w:sz w:val="28"/>
          <w:szCs w:val="28"/>
          <w:lang w:val="en-US" w:eastAsia="zh-CN"/>
        </w:rPr>
        <w:t xml:space="preserve">第七章 采购清单</w:t>
      </w:r>
      <w:r>
        <w:rPr>
          <w:color w:val="auto"/>
          <w:sz w:val="28"/>
          <w:szCs w:val="28"/>
        </w:rPr>
        <w:tab/>
      </w:r>
      <w:r>
        <w:rPr>
          <w:color w:val="auto"/>
          <w:sz w:val="28"/>
          <w:szCs w:val="28"/>
        </w:rPr>
        <w:fldChar w:fldCharType="begin"/>
      </w:r>
      <w:r>
        <w:rPr>
          <w:color w:val="auto"/>
          <w:sz w:val="28"/>
          <w:szCs w:val="28"/>
        </w:rPr>
        <w:instrText xml:space="preserve"> PAGEREF _Toc12926 \h </w:instrText>
      </w:r>
      <w:r>
        <w:rPr>
          <w:color w:val="auto"/>
          <w:sz w:val="28"/>
          <w:szCs w:val="28"/>
        </w:rPr>
        <w:fldChar w:fldCharType="separate"/>
      </w:r>
      <w:r>
        <w:rPr>
          <w:color w:val="auto"/>
          <w:sz w:val="28"/>
          <w:szCs w:val="28"/>
        </w:rPr>
        <w:t xml:space="preserve">74</w:t>
      </w:r>
      <w:r>
        <w:rPr>
          <w:color w:val="auto"/>
          <w:sz w:val="28"/>
          <w:szCs w:val="28"/>
        </w:rPr>
        <w:fldChar w:fldCharType="end"/>
      </w:r>
      <w:r>
        <w:rPr>
          <w:rFonts w:hint="eastAsia" w:ascii="宋体" w:hAnsi="宋体" w:cs="宋体"/>
          <w:color w:val="auto"/>
          <w:sz w:val="28"/>
          <w:szCs w:val="28"/>
          <w:highlight w:val="none"/>
        </w:rPr>
        <w:fldChar w:fldCharType="end"/>
      </w:r>
      <w:r/>
    </w:p>
    <w:p>
      <w:pPr>
        <w:pStyle w:val="830"/>
        <w:spacing w:line="360" w:lineRule="auto"/>
        <w:tabs>
          <w:tab w:val="clear" w:pos="8456" w:leader="none"/>
          <w:tab w:val="right" w:pos="9468" w:leader="dot"/>
        </w:tabs>
        <w:rPr>
          <w:color w:val="auto"/>
          <w:sz w:val="28"/>
          <w:szCs w:val="28"/>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HYPERLINK \l _Toc17139 </w:instrText>
      </w:r>
      <w:r>
        <w:rPr>
          <w:rFonts w:hint="eastAsia" w:ascii="宋体" w:hAnsi="宋体" w:cs="宋体"/>
          <w:color w:val="auto"/>
          <w:sz w:val="28"/>
          <w:szCs w:val="28"/>
          <w:highlight w:val="none"/>
        </w:rPr>
        <w:fldChar w:fldCharType="separate"/>
      </w:r>
      <w:r>
        <w:rPr>
          <w:color w:val="auto"/>
          <w:sz w:val="28"/>
          <w:szCs w:val="28"/>
        </w:rPr>
        <w:t xml:space="preserve">第</w:t>
      </w:r>
      <w:r>
        <w:rPr>
          <w:rFonts w:hint="eastAsia"/>
          <w:color w:val="auto"/>
          <w:sz w:val="28"/>
          <w:szCs w:val="28"/>
          <w:lang w:val="en-US" w:eastAsia="zh-CN"/>
        </w:rPr>
        <w:t xml:space="preserve">八</w:t>
      </w:r>
      <w:r>
        <w:rPr>
          <w:color w:val="auto"/>
          <w:sz w:val="28"/>
          <w:szCs w:val="28"/>
        </w:rPr>
        <w:t xml:space="preserve">章 供应商中标后需要提交核验的资料</w:t>
      </w:r>
      <w:r>
        <w:rPr>
          <w:color w:val="auto"/>
          <w:sz w:val="28"/>
          <w:szCs w:val="28"/>
        </w:rPr>
        <w:tab/>
      </w:r>
      <w:r>
        <w:rPr>
          <w:color w:val="auto"/>
          <w:sz w:val="28"/>
          <w:szCs w:val="28"/>
        </w:rPr>
        <w:fldChar w:fldCharType="begin"/>
      </w:r>
      <w:r>
        <w:rPr>
          <w:color w:val="auto"/>
          <w:sz w:val="28"/>
          <w:szCs w:val="28"/>
        </w:rPr>
        <w:instrText xml:space="preserve"> PAGEREF _Toc17139 \h </w:instrText>
      </w:r>
      <w:r>
        <w:rPr>
          <w:color w:val="auto"/>
          <w:sz w:val="28"/>
          <w:szCs w:val="28"/>
        </w:rPr>
        <w:fldChar w:fldCharType="separate"/>
      </w:r>
      <w:r>
        <w:rPr>
          <w:color w:val="auto"/>
          <w:sz w:val="28"/>
          <w:szCs w:val="28"/>
        </w:rPr>
        <w:t xml:space="preserve">85</w:t>
      </w:r>
      <w:r>
        <w:rPr>
          <w:color w:val="auto"/>
          <w:sz w:val="28"/>
          <w:szCs w:val="28"/>
        </w:rPr>
        <w:fldChar w:fldCharType="end"/>
      </w:r>
      <w:r>
        <w:rPr>
          <w:rFonts w:hint="eastAsia" w:ascii="宋体" w:hAnsi="宋体" w:cs="宋体"/>
          <w:color w:val="auto"/>
          <w:sz w:val="28"/>
          <w:szCs w:val="28"/>
          <w:highlight w:val="none"/>
        </w:rPr>
        <w:fldChar w:fldCharType="end"/>
      </w:r>
      <w:r/>
    </w:p>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fldChar w:fldCharType="end"/>
      </w:r>
      <w:r/>
    </w:p>
    <w:p>
      <w:pPr>
        <w:pStyle w:val="995"/>
        <w:jc w:val="center"/>
        <w:spacing w:line="360" w:lineRule="auto"/>
        <w:rPr>
          <w:rFonts w:hint="eastAsia" w:ascii="宋体" w:hAnsi="宋体" w:cs="宋体"/>
          <w:color w:val="auto"/>
          <w:sz w:val="36"/>
          <w:szCs w:val="36"/>
          <w:highlight w:val="none"/>
          <w:lang w:val="zh-CN"/>
        </w:rPr>
        <w:sectPr>
          <w:footerReference w:type="default" r:id="rId10"/>
          <w:footnotePr/>
          <w:endnotePr/>
          <w:type w:val="nextPage"/>
          <w:pgSz w:w="11906" w:h="16838" w:orient="portrait"/>
          <w:pgMar w:top="1417" w:right="1134" w:bottom="1247" w:left="1304" w:header="851" w:footer="992" w:gutter="0"/>
          <w:pgNumType w:start="1"/>
          <w:cols w:num="1" w:sep="0" w:space="720" w:equalWidth="1"/>
          <w:docGrid w:linePitch="360"/>
        </w:sectPr>
      </w:pPr>
      <w:r/>
      <w:bookmarkStart w:id="1" w:name="_Toc12800"/>
      <w:r/>
      <w:bookmarkStart w:id="2" w:name="_Toc8984"/>
      <w:r/>
      <w:bookmarkStart w:id="3" w:name="_Toc12683"/>
      <w:r/>
      <w:bookmarkEnd w:id="1"/>
      <w:r/>
      <w:bookmarkEnd w:id="2"/>
      <w:r/>
      <w:bookmarkEnd w:id="3"/>
      <w:r/>
      <w:r/>
    </w:p>
    <w:p>
      <w:pPr>
        <w:pStyle w:val="806"/>
        <w:jc w:val="center"/>
        <w:rPr>
          <w:rFonts w:hint="eastAsia" w:eastAsia="宋体"/>
          <w:b/>
          <w:color w:val="auto"/>
          <w:sz w:val="36"/>
          <w:lang w:val="zh-CN"/>
        </w:rPr>
      </w:pPr>
      <w:r/>
      <w:bookmarkStart w:id="4" w:name="_Toc26954"/>
      <w:r/>
      <w:bookmarkStart w:id="5" w:name="_Toc16119"/>
      <w:r/>
      <w:bookmarkStart w:id="6" w:name="_Toc29221"/>
      <w:r/>
      <w:bookmarkStart w:id="7" w:name="_Toc14965"/>
      <w:r/>
      <w:bookmarkStart w:id="8" w:name="_Toc26288"/>
      <w:r/>
      <w:bookmarkStart w:id="9" w:name="_Toc3753"/>
      <w:r>
        <w:rPr>
          <w:rFonts w:hint="eastAsia" w:eastAsia="宋体"/>
          <w:b/>
          <w:color w:val="auto"/>
          <w:sz w:val="36"/>
          <w:lang w:val="zh-CN"/>
        </w:rPr>
        <w:t xml:space="preserve">第一章 </w:t>
      </w:r>
      <w:r>
        <w:rPr>
          <w:rFonts w:hint="eastAsia" w:eastAsia="宋体"/>
          <w:b/>
          <w:color w:val="auto"/>
          <w:sz w:val="36"/>
          <w:lang w:val="zh-CN"/>
        </w:rPr>
        <w:t xml:space="preserve">投标</w:t>
      </w:r>
      <w:r>
        <w:rPr>
          <w:rFonts w:hint="eastAsia" w:eastAsia="宋体"/>
          <w:b/>
          <w:color w:val="auto"/>
          <w:sz w:val="36"/>
          <w:lang w:val="zh-CN"/>
        </w:rPr>
        <w:t xml:space="preserve">邀请</w:t>
      </w:r>
      <w:bookmarkEnd w:id="4"/>
      <w:r/>
      <w:bookmarkEnd w:id="5"/>
      <w:r/>
      <w:bookmarkEnd w:id="6"/>
      <w:r/>
      <w:bookmarkEnd w:id="7"/>
      <w:r/>
      <w:bookmarkEnd w:id="8"/>
      <w:r/>
      <w:bookmarkEnd w:id="9"/>
      <w:r/>
      <w:r/>
    </w:p>
    <w:p>
      <w:pPr>
        <w:ind w:firstLine="440"/>
        <w:jc w:val="left"/>
        <w:spacing w:line="520" w:lineRule="exact"/>
        <w:widowControl/>
        <w:rPr>
          <w:rFonts w:hint="eastAsia" w:ascii="宋体" w:hAnsi="宋体" w:cs="宋体"/>
          <w:color w:val="auto"/>
          <w:sz w:val="22"/>
          <w:highlight w:val="none"/>
        </w:rPr>
      </w:pPr>
      <w:r>
        <w:rPr>
          <w:rFonts w:hint="eastAsia" w:ascii="宋体" w:hAnsi="宋体" w:cs="宋体"/>
          <w:color w:val="auto"/>
          <w:sz w:val="22"/>
          <w:highlight w:val="none"/>
          <w:lang w:eastAsia="zh-CN"/>
        </w:rPr>
        <w:t xml:space="preserve">2026年S122汤山段辅道日常养护服务</w:t>
      </w:r>
      <w:r>
        <w:rPr>
          <w:rFonts w:hint="eastAsia" w:ascii="宋体" w:hAnsi="宋体" w:cs="宋体"/>
          <w:bCs/>
          <w:color w:val="auto"/>
          <w:sz w:val="22"/>
          <w:highlight w:val="none"/>
        </w:rPr>
        <w:t xml:space="preserve">招标项目的潜在投标人应在江苏政府采购网获取招标文件</w:t>
      </w:r>
      <w:r>
        <w:rPr>
          <w:rFonts w:hint="eastAsia" w:ascii="宋体" w:hAnsi="宋体" w:cs="宋体"/>
          <w:color w:val="auto"/>
          <w:sz w:val="22"/>
          <w:highlight w:val="none"/>
        </w:rPr>
        <w:t xml:space="preserve">，</w:t>
      </w:r>
      <w:r>
        <w:rPr>
          <w:rFonts w:ascii="宋体" w:hAnsi="宋体" w:cs="宋体"/>
          <w:color w:val="auto"/>
          <w:sz w:val="22"/>
          <w:highlight w:val="none"/>
        </w:rPr>
        <w:t xml:space="preserve">并</w:t>
      </w:r>
      <w:r>
        <w:rPr>
          <w:rFonts w:hint="eastAsia" w:ascii="宋体" w:hAnsi="宋体" w:cs="宋体"/>
          <w:color w:val="auto"/>
          <w:sz w:val="22"/>
          <w:highlight w:val="none"/>
        </w:rPr>
        <w:t xml:space="preserve">于2025年12月</w:t>
      </w:r>
      <w:r>
        <w:rPr>
          <w:rFonts w:hint="eastAsia" w:ascii="宋体" w:hAnsi="宋体" w:cs="宋体"/>
          <w:color w:val="auto"/>
          <w:sz w:val="22"/>
          <w:highlight w:val="none"/>
          <w:lang w:val="en-US" w:eastAsia="zh-CN"/>
        </w:rPr>
        <w:t xml:space="preserve">30</w:t>
      </w:r>
      <w:r>
        <w:rPr>
          <w:rFonts w:hint="eastAsia" w:ascii="宋体" w:hAnsi="宋体" w:cs="宋体"/>
          <w:color w:val="auto"/>
          <w:sz w:val="22"/>
          <w:highlight w:val="none"/>
        </w:rPr>
        <w:t xml:space="preserve">日</w:t>
      </w:r>
      <w:r>
        <w:rPr>
          <w:rFonts w:hint="eastAsia" w:ascii="宋体" w:hAnsi="宋体" w:cs="宋体"/>
          <w:color w:val="auto"/>
          <w:sz w:val="22"/>
          <w:highlight w:val="none"/>
          <w:lang w:val="en-US" w:eastAsia="zh-CN"/>
        </w:rPr>
        <w:t xml:space="preserve">9：30</w:t>
      </w:r>
      <w:r>
        <w:rPr>
          <w:rFonts w:hint="eastAsia" w:ascii="宋体" w:hAnsi="宋体" w:cs="宋体"/>
          <w:color w:val="auto"/>
          <w:sz w:val="22"/>
          <w:highlight w:val="none"/>
        </w:rPr>
        <w:t xml:space="preserve">（北京时间）前递交投标文件。</w:t>
      </w:r>
      <w:r/>
    </w:p>
    <w:p>
      <w:pPr>
        <w:pStyle w:val="807"/>
        <w:rPr>
          <w:rFonts w:hint="eastAsia"/>
          <w:color w:val="auto"/>
        </w:rPr>
      </w:pPr>
      <w:r>
        <w:rPr>
          <w:rFonts w:hint="eastAsia"/>
          <w:color w:val="auto"/>
        </w:rPr>
        <w:t xml:space="preserve">一、项目基本情况</w:t>
      </w:r>
      <w:r/>
    </w:p>
    <w:p>
      <w:pPr>
        <w:ind w:firstLine="440"/>
        <w:jc w:val="left"/>
        <w:spacing w:line="520" w:lineRule="exact"/>
        <w:widowControl/>
        <w:rPr>
          <w:rFonts w:hint="eastAsia" w:ascii="宋体" w:hAnsi="宋体" w:cs="宋体"/>
          <w:color w:val="auto"/>
          <w:sz w:val="22"/>
          <w:highlight w:val="none"/>
          <w:lang w:eastAsia="zh-CN"/>
        </w:rPr>
      </w:pPr>
      <w:r>
        <w:rPr>
          <w:rFonts w:hint="eastAsia" w:ascii="宋体" w:hAnsi="宋体" w:cs="宋体"/>
          <w:color w:val="auto"/>
          <w:sz w:val="22"/>
          <w:highlight w:val="none"/>
        </w:rPr>
        <w:t xml:space="preserve">项目编号：</w:t>
      </w:r>
      <w:r>
        <w:rPr>
          <w:rFonts w:hint="eastAsia" w:ascii="宋体" w:hAnsi="宋体" w:cs="宋体"/>
          <w:color w:val="auto"/>
          <w:sz w:val="22"/>
          <w:highlight w:val="none"/>
          <w:lang w:eastAsia="zh-CN"/>
        </w:rPr>
        <w:t xml:space="preserve">JSZC-320115-NJYP-G2025-0028</w:t>
      </w:r>
      <w:r/>
    </w:p>
    <w:p>
      <w:pPr>
        <w:ind w:firstLine="440"/>
        <w:jc w:val="left"/>
        <w:spacing w:line="520" w:lineRule="exact"/>
        <w:widowControl/>
        <w:rPr>
          <w:rFonts w:hint="eastAsia" w:ascii="宋体" w:hAnsi="宋体" w:eastAsia="宋体" w:cs="宋体"/>
          <w:color w:val="auto"/>
          <w:sz w:val="22"/>
          <w:highlight w:val="none"/>
          <w:lang w:eastAsia="zh-CN"/>
        </w:rPr>
      </w:pPr>
      <w:r>
        <w:rPr>
          <w:rFonts w:hint="eastAsia" w:ascii="宋体" w:hAnsi="宋体" w:cs="宋体"/>
          <w:color w:val="auto"/>
          <w:sz w:val="22"/>
          <w:highlight w:val="none"/>
        </w:rPr>
        <w:t xml:space="preserve">项目名称：</w:t>
      </w:r>
      <w:r>
        <w:rPr>
          <w:rFonts w:hint="eastAsia" w:ascii="宋体" w:hAnsi="宋体" w:cs="宋体"/>
          <w:color w:val="auto"/>
          <w:sz w:val="22"/>
          <w:highlight w:val="none"/>
          <w:lang w:eastAsia="zh-CN"/>
        </w:rPr>
        <w:t xml:space="preserve">2026年S122汤山段辅道日常养护服务</w:t>
      </w:r>
      <w:r/>
    </w:p>
    <w:p>
      <w:pPr>
        <w:ind w:firstLine="440"/>
        <w:jc w:val="left"/>
        <w:spacing w:line="520" w:lineRule="exact"/>
        <w:widowControl/>
        <w:rPr>
          <w:rFonts w:hint="eastAsia" w:ascii="宋体" w:hAnsi="宋体" w:cs="宋体"/>
          <w:color w:val="auto"/>
          <w:sz w:val="22"/>
          <w:highlight w:val="none"/>
        </w:rPr>
      </w:pPr>
      <w:r>
        <w:rPr>
          <w:rFonts w:hint="eastAsia" w:ascii="宋体" w:hAnsi="宋体" w:cs="宋体"/>
          <w:color w:val="auto"/>
          <w:sz w:val="22"/>
          <w:highlight w:val="none"/>
        </w:rPr>
        <w:t xml:space="preserve">预算金额：700万元</w:t>
      </w:r>
      <w:r/>
    </w:p>
    <w:p>
      <w:pPr>
        <w:ind w:firstLine="440"/>
        <w:jc w:val="left"/>
        <w:spacing w:line="520" w:lineRule="exact"/>
        <w:widowControl/>
        <w:rPr>
          <w:rFonts w:hint="eastAsia" w:ascii="宋体" w:hAnsi="宋体" w:cs="宋体"/>
          <w:color w:val="auto"/>
          <w:sz w:val="22"/>
          <w:highlight w:val="none"/>
        </w:rPr>
      </w:pPr>
      <w:r>
        <w:rPr>
          <w:rFonts w:hint="eastAsia" w:ascii="宋体" w:hAnsi="宋体" w:cs="宋体"/>
          <w:color w:val="auto"/>
          <w:sz w:val="22"/>
          <w:highlight w:val="none"/>
        </w:rPr>
        <w:t xml:space="preserve">最高限价：700万元（投标报价不得超过采购项目最高限价金额，否则按无效投标处理）</w:t>
      </w:r>
      <w:r/>
    </w:p>
    <w:p>
      <w:pPr>
        <w:ind w:firstLine="440"/>
        <w:jc w:val="left"/>
        <w:spacing w:line="520" w:lineRule="exact"/>
        <w:widowControl/>
        <w:rPr>
          <w:rFonts w:hint="eastAsia" w:ascii="宋体" w:hAnsi="宋体" w:cs="宋体"/>
          <w:color w:val="auto"/>
          <w:sz w:val="22"/>
          <w:highlight w:val="none"/>
        </w:rPr>
      </w:pPr>
      <w:r>
        <w:rPr>
          <w:rFonts w:hint="eastAsia" w:ascii="宋体" w:hAnsi="宋体" w:cs="宋体"/>
          <w:color w:val="auto"/>
          <w:sz w:val="22"/>
          <w:highlight w:val="none"/>
        </w:rPr>
        <w:t xml:space="preserve">采购需求：本项目为</w:t>
      </w:r>
      <w:r>
        <w:rPr>
          <w:rFonts w:hint="eastAsia" w:ascii="宋体" w:hAnsi="宋体" w:cs="宋体"/>
          <w:color w:val="auto"/>
          <w:sz w:val="22"/>
          <w:highlight w:val="none"/>
          <w:lang w:eastAsia="zh-CN"/>
        </w:rPr>
        <w:t xml:space="preserve">2026年S122汤山段辅道日常养护服务</w:t>
      </w:r>
      <w:r>
        <w:rPr>
          <w:rFonts w:hint="eastAsia" w:ascii="宋体" w:hAnsi="宋体" w:cs="宋体"/>
          <w:color w:val="auto"/>
          <w:sz w:val="22"/>
          <w:highlight w:val="none"/>
        </w:rPr>
        <w:t xml:space="preserve">。主要内容包括对2026年S122 汤山段辅道的养护，道路病害维修、桥涵构造物维修维护、安保更换维修维护、突发道路事件处置、道路附属设施养护等以及采购人指令的其它工作内容</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rPr>
        <w:t xml:space="preserve">具体服务工作详见招标文件。</w:t>
      </w:r>
      <w:r/>
    </w:p>
    <w:p>
      <w:pPr>
        <w:ind w:firstLine="440"/>
        <w:jc w:val="left"/>
        <w:spacing w:line="520" w:lineRule="exact"/>
        <w:widowControl/>
        <w:rPr>
          <w:rFonts w:hint="eastAsia" w:ascii="宋体" w:hAnsi="宋体" w:cs="宋体"/>
          <w:color w:val="auto"/>
          <w:sz w:val="22"/>
          <w:highlight w:val="none"/>
        </w:rPr>
      </w:pPr>
      <w:r/>
      <w:bookmarkStart w:id="10" w:name="OLE_LINK5"/>
      <w:r>
        <w:rPr>
          <w:rFonts w:hint="eastAsia" w:ascii="宋体" w:hAnsi="宋体" w:cs="宋体"/>
          <w:color w:val="auto"/>
          <w:sz w:val="22"/>
          <w:highlight w:val="none"/>
        </w:rPr>
        <w:t xml:space="preserve">合同履行期限：自合同签订之日起一年。</w:t>
      </w:r>
      <w:r/>
    </w:p>
    <w:p>
      <w:pPr>
        <w:ind w:firstLine="440"/>
        <w:jc w:val="left"/>
        <w:spacing w:line="520" w:lineRule="exact"/>
        <w:widowControl/>
        <w:rPr>
          <w:rFonts w:hint="eastAsia"/>
          <w:color w:val="auto"/>
          <w:highlight w:val="none"/>
        </w:rPr>
      </w:pPr>
      <w:r>
        <w:rPr>
          <w:rFonts w:hint="eastAsia" w:ascii="宋体" w:hAnsi="宋体" w:eastAsia="宋体" w:cs="宋体"/>
          <w:color w:val="auto"/>
          <w:sz w:val="22"/>
          <w:highlight w:val="none"/>
          <w:lang w:val="zh-CN"/>
        </w:rPr>
        <w:t xml:space="preserve">本项目采购标的对应的中小企业划分标准所属行业为：</w:t>
      </w:r>
      <w:r>
        <w:rPr>
          <w:rFonts w:hint="eastAsia" w:ascii="宋体" w:hAnsi="宋体" w:eastAsia="宋体" w:cs="宋体"/>
          <w:color w:val="auto"/>
          <w:sz w:val="22"/>
          <w:highlight w:val="none"/>
        </w:rPr>
        <w:t xml:space="preserve">交通运输业</w:t>
      </w:r>
      <w:r>
        <w:rPr>
          <w:rFonts w:hint="eastAsia" w:ascii="宋体" w:hAnsi="宋体" w:eastAsia="宋体" w:cs="宋体"/>
          <w:color w:val="auto"/>
          <w:sz w:val="22"/>
          <w:highlight w:val="none"/>
          <w:lang w:val="zh-CN"/>
        </w:rPr>
        <w:t xml:space="preserve">。</w:t>
      </w:r>
      <w:r/>
    </w:p>
    <w:p>
      <w:pPr>
        <w:ind w:firstLine="420"/>
        <w:jc w:val="left"/>
        <w:spacing w:before="75" w:after="75" w:line="520" w:lineRule="exact"/>
        <w:widowControl/>
        <w:rPr>
          <w:rFonts w:hint="eastAsia" w:ascii="宋体" w:hAnsi="宋体" w:cs="宋体"/>
          <w:color w:val="auto"/>
          <w:sz w:val="22"/>
          <w:highlight w:val="none"/>
        </w:rPr>
      </w:pPr>
      <w:r>
        <w:rPr>
          <w:rFonts w:hint="eastAsia" w:ascii="宋体" w:hAnsi="宋体" w:cs="宋体"/>
          <w:color w:val="auto"/>
          <w:sz w:val="22"/>
          <w:highlight w:val="none"/>
        </w:rPr>
        <w:t xml:space="preserve">本项目（是/否）接受联合体投标：否</w:t>
      </w:r>
      <w:bookmarkEnd w:id="10"/>
      <w:r/>
      <w:r/>
    </w:p>
    <w:p>
      <w:pPr>
        <w:pStyle w:val="807"/>
        <w:rPr>
          <w:rFonts w:hint="eastAsia"/>
          <w:color w:val="auto"/>
        </w:rPr>
      </w:pPr>
      <w:r>
        <w:rPr>
          <w:rFonts w:hint="eastAsia"/>
          <w:color w:val="auto"/>
        </w:rPr>
        <w:t xml:space="preserve">二、申请人的资格要求：</w:t>
      </w:r>
      <w:r/>
    </w:p>
    <w:p>
      <w:pPr>
        <w:ind w:firstLine="420"/>
        <w:spacing w:line="520" w:lineRule="exact"/>
        <w:rPr>
          <w:rFonts w:hint="eastAsia" w:ascii="宋体" w:hAnsi="宋体" w:cs="宋体"/>
          <w:color w:val="auto"/>
          <w:sz w:val="22"/>
          <w:highlight w:val="none"/>
        </w:rPr>
      </w:pPr>
      <w:r>
        <w:rPr>
          <w:rFonts w:hint="eastAsia" w:ascii="宋体" w:hAnsi="宋体" w:cs="宋体"/>
          <w:color w:val="auto"/>
          <w:sz w:val="22"/>
          <w:highlight w:val="none"/>
        </w:rPr>
        <w:t xml:space="preserve">（一）</w:t>
      </w:r>
      <w:r>
        <w:rPr>
          <w:rFonts w:hint="eastAsia" w:ascii="宋体" w:hAnsi="宋体"/>
          <w:bCs/>
          <w:color w:val="auto"/>
          <w:sz w:val="22"/>
          <w:highlight w:val="none"/>
        </w:rPr>
        <w:t xml:space="preserve">满足《中华人民共和国政府采购法》第二十二条规定；</w:t>
      </w:r>
      <w:r/>
    </w:p>
    <w:p>
      <w:pPr>
        <w:ind w:firstLine="440"/>
        <w:jc w:val="left"/>
        <w:spacing w:line="520" w:lineRule="exact"/>
        <w:widowControl/>
        <w:rPr>
          <w:rFonts w:hint="eastAsia" w:ascii="宋体" w:hAnsi="宋体" w:cs="宋体"/>
          <w:bCs/>
          <w:color w:val="auto"/>
          <w:sz w:val="22"/>
          <w:highlight w:val="none"/>
        </w:rPr>
      </w:pPr>
      <w:r>
        <w:rPr>
          <w:rFonts w:hint="eastAsia" w:ascii="宋体" w:hAnsi="宋体" w:cs="宋体"/>
          <w:bCs/>
          <w:color w:val="auto"/>
          <w:sz w:val="22"/>
          <w:highlight w:val="none"/>
        </w:rPr>
        <w:t xml:space="preserve">1.具有独立承担民事责任的能力(请提供法人或者其他组织的营业执照等证明文件，自然人的身份证明)。</w:t>
      </w:r>
      <w:r/>
    </w:p>
    <w:p>
      <w:pPr>
        <w:ind w:firstLine="440"/>
        <w:jc w:val="left"/>
        <w:spacing w:line="520" w:lineRule="exact"/>
        <w:widowControl/>
        <w:rPr>
          <w:rFonts w:hint="eastAsia" w:ascii="宋体" w:hAnsi="宋体" w:cs="宋体"/>
          <w:bCs/>
          <w:color w:val="auto"/>
          <w:sz w:val="22"/>
          <w:highlight w:val="none"/>
        </w:rPr>
      </w:pPr>
      <w:r>
        <w:rPr>
          <w:rFonts w:hint="eastAsia" w:ascii="宋体" w:hAnsi="宋体" w:cs="宋体"/>
          <w:bCs/>
          <w:color w:val="auto"/>
          <w:sz w:val="22"/>
          <w:highlight w:val="none"/>
        </w:rPr>
        <w:t xml:space="preserve">2.符合《中华人民共和国政府采购法》第二十二条的相关规定，提供《南京市政府采购供应商信用记录表暨信用承诺书》，其中不适用信用承诺的情形：</w:t>
      </w:r>
      <w:r/>
    </w:p>
    <w:p>
      <w:pPr>
        <w:ind w:firstLine="440"/>
        <w:jc w:val="left"/>
        <w:spacing w:line="520" w:lineRule="exact"/>
        <w:widowControl/>
        <w:rPr>
          <w:rFonts w:hint="eastAsia" w:ascii="宋体" w:hAnsi="宋体" w:cs="宋体"/>
          <w:bCs/>
          <w:color w:val="auto"/>
          <w:sz w:val="22"/>
          <w:highlight w:val="none"/>
        </w:rPr>
      </w:pPr>
      <w:r>
        <w:rPr>
          <w:rFonts w:hint="eastAsia" w:ascii="宋体" w:hAnsi="宋体" w:cs="宋体"/>
          <w:bCs/>
          <w:color w:val="auto"/>
          <w:sz w:val="22"/>
          <w:highlight w:val="none"/>
        </w:rPr>
        <w:t xml:space="preserve">①供应商被列入严重失信主体名单；</w:t>
      </w:r>
      <w:r/>
    </w:p>
    <w:p>
      <w:pPr>
        <w:ind w:firstLine="440"/>
        <w:jc w:val="left"/>
        <w:spacing w:line="520" w:lineRule="exact"/>
        <w:widowControl/>
        <w:rPr>
          <w:rFonts w:hint="eastAsia" w:ascii="宋体" w:hAnsi="宋体" w:cs="宋体"/>
          <w:bCs/>
          <w:color w:val="auto"/>
          <w:sz w:val="22"/>
          <w:highlight w:val="none"/>
        </w:rPr>
      </w:pPr>
      <w:r>
        <w:rPr>
          <w:rFonts w:hint="eastAsia" w:ascii="宋体" w:hAnsi="宋体" w:cs="宋体"/>
          <w:bCs/>
          <w:color w:val="auto"/>
          <w:sz w:val="22"/>
          <w:highlight w:val="none"/>
        </w:rPr>
        <w:t xml:space="preserve">②被相关监管部门作出行政处罚且尚在处罚有效期内；</w:t>
      </w:r>
      <w:r/>
    </w:p>
    <w:p>
      <w:pPr>
        <w:ind w:firstLine="440"/>
        <w:jc w:val="left"/>
        <w:spacing w:line="520" w:lineRule="exact"/>
        <w:widowControl/>
        <w:rPr>
          <w:rFonts w:hint="eastAsia" w:ascii="宋体" w:hAnsi="宋体" w:cs="宋体"/>
          <w:bCs/>
          <w:color w:val="auto"/>
          <w:sz w:val="22"/>
          <w:highlight w:val="none"/>
        </w:rPr>
      </w:pPr>
      <w:r>
        <w:rPr>
          <w:rFonts w:hint="eastAsia" w:ascii="宋体" w:hAnsi="宋体" w:cs="宋体"/>
          <w:bCs/>
          <w:color w:val="auto"/>
          <w:sz w:val="22"/>
          <w:highlight w:val="none"/>
        </w:rPr>
        <w:t xml:space="preserve">③其他法律、行政法规规定的不适用信用承诺的情形。</w:t>
      </w:r>
      <w:r/>
    </w:p>
    <w:p>
      <w:pPr>
        <w:ind w:firstLine="440"/>
        <w:jc w:val="left"/>
        <w:spacing w:line="520" w:lineRule="exact"/>
        <w:widowControl/>
        <w:rPr>
          <w:rFonts w:hint="eastAsia" w:ascii="宋体" w:hAnsi="宋体" w:cs="宋体"/>
          <w:bCs/>
          <w:color w:val="auto"/>
          <w:sz w:val="22"/>
          <w:highlight w:val="none"/>
        </w:rPr>
      </w:pPr>
      <w:r>
        <w:rPr>
          <w:rFonts w:hint="eastAsia" w:ascii="宋体" w:hAnsi="宋体" w:cs="宋体"/>
          <w:bCs/>
          <w:color w:val="auto"/>
          <w:sz w:val="22"/>
          <w:highlight w:val="none"/>
        </w:rPr>
        <w:t xml:space="preserve">（二）</w:t>
      </w:r>
      <w:r>
        <w:rPr>
          <w:rFonts w:hint="eastAsia" w:ascii="宋体" w:hAnsi="宋体" w:cs="宋体"/>
          <w:bCs/>
          <w:color w:val="auto"/>
          <w:sz w:val="22"/>
          <w:highlight w:val="none"/>
        </w:rPr>
        <w:t xml:space="preserve">落实政府采购政策需满足的资格要求：（如属于专门面向中小企业采购的项目，供应商应为中小微企业、监狱企业、残疾人福利性单位）</w:t>
      </w:r>
      <w:r/>
    </w:p>
    <w:p>
      <w:pPr>
        <w:ind w:firstLine="440"/>
        <w:jc w:val="left"/>
        <w:spacing w:line="520" w:lineRule="exact"/>
        <w:widowControl/>
        <w:rPr>
          <w:rFonts w:hint="eastAsia" w:ascii="宋体" w:hAnsi="宋体" w:cs="宋体"/>
          <w:bCs/>
          <w:color w:val="auto"/>
          <w:sz w:val="22"/>
          <w:highlight w:val="none"/>
        </w:rPr>
      </w:pPr>
      <w:r>
        <w:rPr>
          <w:rFonts w:hint="eastAsia" w:ascii="宋体" w:hAnsi="宋体" w:cs="宋体"/>
          <w:bCs/>
          <w:color w:val="auto"/>
          <w:sz w:val="22"/>
          <w:highlight w:val="none"/>
        </w:rPr>
        <w:t xml:space="preserve">本项目按照以下方式落实政府采购促进中小企业发展的要求：</w:t>
      </w:r>
      <w:r/>
    </w:p>
    <w:p>
      <w:pPr>
        <w:ind w:firstLine="440"/>
        <w:jc w:val="left"/>
        <w:spacing w:line="520" w:lineRule="exact"/>
        <w:widowControl/>
        <w:rPr>
          <w:rFonts w:hint="eastAsia" w:ascii="宋体" w:hAnsi="宋体" w:cs="宋体"/>
          <w:bCs/>
          <w:color w:val="auto"/>
          <w:sz w:val="22"/>
          <w:highlight w:val="none"/>
        </w:rPr>
      </w:pPr>
      <w:r>
        <w:rPr>
          <w:rFonts w:hint="eastAsia" w:ascii="宋体" w:hAnsi="宋体" w:cs="宋体"/>
          <w:bCs/>
          <w:color w:val="auto"/>
          <w:sz w:val="22"/>
          <w:highlight w:val="none"/>
        </w:rPr>
        <w:t xml:space="preserve">本项目为非预留份额的采购项目或采购包，执行价格扣除优惠政策，具体详见招标文件第三章评审标准。</w:t>
      </w:r>
      <w:r/>
    </w:p>
    <w:p>
      <w:pPr>
        <w:ind w:firstLine="440"/>
        <w:jc w:val="left"/>
        <w:spacing w:line="520" w:lineRule="exact"/>
        <w:widowControl/>
        <w:rPr>
          <w:color w:val="auto"/>
          <w:highlight w:val="none"/>
          <w:lang w:val="en-US"/>
        </w:rPr>
      </w:pPr>
      <w:r>
        <w:rPr>
          <w:rFonts w:hint="eastAsia" w:ascii="宋体" w:hAnsi="宋体" w:cs="宋体"/>
          <w:bCs/>
          <w:color w:val="auto"/>
          <w:sz w:val="22"/>
          <w:highlight w:val="none"/>
        </w:rPr>
        <w:t xml:space="preserve">本项目不专门面向中小微企业采购，执行价格扣除优惠政策，</w:t>
      </w:r>
      <w:r>
        <w:rPr>
          <w:rFonts w:hint="eastAsia" w:ascii="宋体" w:hAnsi="宋体" w:cs="宋体"/>
          <w:b/>
          <w:color w:val="auto"/>
          <w:sz w:val="22"/>
          <w:highlight w:val="none"/>
        </w:rPr>
        <w:t xml:space="preserve">对小微企业报价给予10%的扣除</w:t>
      </w:r>
      <w:r>
        <w:rPr>
          <w:rFonts w:hint="eastAsia" w:ascii="宋体" w:hAnsi="宋体" w:cs="宋体"/>
          <w:bCs/>
          <w:color w:val="auto"/>
          <w:sz w:val="22"/>
          <w:highlight w:val="none"/>
        </w:rPr>
        <w:t xml:space="preserve">。</w:t>
      </w:r>
      <w:r>
        <w:rPr>
          <w:rFonts w:hint="eastAsia" w:ascii="宋体" w:hAnsi="宋体" w:cs="宋体"/>
          <w:bCs/>
          <w:color w:val="auto"/>
          <w:sz w:val="22"/>
          <w:highlight w:val="none"/>
          <w:lang w:val="zh-CN"/>
        </w:rPr>
        <w:t xml:space="preserve">提供《</w:t>
      </w:r>
      <w:r>
        <w:rPr>
          <w:rFonts w:hint="eastAsia" w:ascii="宋体" w:hAnsi="宋体" w:cs="宋体"/>
          <w:bCs/>
          <w:color w:val="auto"/>
          <w:sz w:val="22"/>
          <w:highlight w:val="none"/>
        </w:rPr>
        <w:t xml:space="preserve">中</w:t>
      </w:r>
      <w:r>
        <w:rPr>
          <w:rFonts w:hint="eastAsia" w:ascii="宋体" w:hAnsi="宋体" w:cs="宋体"/>
          <w:bCs/>
          <w:color w:val="auto"/>
          <w:sz w:val="22"/>
          <w:highlight w:val="none"/>
          <w:lang w:val="zh-CN"/>
        </w:rPr>
        <w:t xml:space="preserve">小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格式见第六章）。</w:t>
      </w:r>
      <w:r/>
    </w:p>
    <w:p>
      <w:pPr>
        <w:numPr>
          <w:ilvl w:val="0"/>
          <w:numId w:val="1"/>
        </w:numPr>
        <w:ind w:firstLine="420"/>
        <w:jc w:val="left"/>
        <w:spacing w:line="520" w:lineRule="exact"/>
        <w:widowControl/>
        <w:rPr>
          <w:rFonts w:hint="eastAsia" w:ascii="宋体" w:hAnsi="宋体" w:cs="宋体"/>
          <w:color w:val="auto"/>
          <w:sz w:val="22"/>
          <w:highlight w:val="none"/>
        </w:rPr>
      </w:pPr>
      <w:r>
        <w:rPr>
          <w:rFonts w:hint="eastAsia" w:ascii="宋体" w:hAnsi="宋体" w:cs="宋体"/>
          <w:color w:val="auto"/>
          <w:sz w:val="22"/>
          <w:highlight w:val="none"/>
        </w:rPr>
        <w:t xml:space="preserve">采购人根据采购项目的特殊要求规定的特定条件：</w:t>
      </w:r>
      <w:r/>
    </w:p>
    <w:p>
      <w:pPr>
        <w:ind w:firstLine="440"/>
        <w:jc w:val="left"/>
        <w:spacing w:line="520" w:lineRule="exact"/>
        <w:widowControl/>
        <w:rPr>
          <w:rFonts w:hint="eastAsia" w:ascii="宋体" w:hAnsi="宋体" w:cs="宋体"/>
          <w:color w:val="000000" w:themeColor="text1"/>
          <w:sz w:val="22"/>
          <w:highlight w:val="none"/>
        </w:rPr>
      </w:pPr>
      <w:r>
        <w:rPr>
          <w:rFonts w:hint="eastAsia" w:ascii="宋体" w:hAnsi="宋体" w:cs="宋体"/>
          <w:color w:val="000000" w:themeColor="text1"/>
          <w:sz w:val="22"/>
          <w:highlight w:val="none"/>
        </w:rPr>
        <w:t xml:space="preserve">1.</w:t>
      </w:r>
      <w:r>
        <w:rPr>
          <w:rFonts w:hint="eastAsia" w:ascii="宋体" w:hAnsi="宋体" w:cs="宋体"/>
          <w:color w:val="000000" w:themeColor="text1"/>
          <w:sz w:val="22"/>
          <w:highlight w:val="none"/>
        </w:rPr>
        <w:t xml:space="preserve">供应商为中华人民共和国境内合法注册的具有独立法人资格的企业，具备有效的营业执照，且具有交通运输主管部门核发的公路养护作业（路基路面）甲级资质，且具有省级及以上建设行政主管部门核发的《安全生产许可证》，且均在有效期内（提供证书扫描件</w:t>
      </w:r>
      <w:r>
        <w:rPr>
          <w:rFonts w:hint="eastAsia" w:ascii="宋体" w:hAnsi="宋体" w:cs="宋体"/>
          <w:color w:val="000000" w:themeColor="text1"/>
          <w:sz w:val="22"/>
          <w:highlight w:val="none"/>
          <w:lang w:val="en-US" w:eastAsia="zh-CN"/>
        </w:rPr>
        <w:t xml:space="preserve">,并加盖电子公章</w:t>
      </w:r>
      <w:r>
        <w:rPr>
          <w:rFonts w:hint="eastAsia" w:ascii="宋体" w:hAnsi="宋体" w:cs="宋体"/>
          <w:color w:val="000000" w:themeColor="text1"/>
          <w:sz w:val="22"/>
          <w:highlight w:val="none"/>
        </w:rPr>
        <w:t xml:space="preserve">）。</w:t>
      </w:r>
      <w:r>
        <w:rPr>
          <w:color w:val="000000" w:themeColor="text1"/>
        </w:rPr>
      </w:r>
    </w:p>
    <w:p>
      <w:pPr>
        <w:ind w:firstLine="440"/>
        <w:jc w:val="left"/>
        <w:spacing w:line="520" w:lineRule="exact"/>
        <w:widowControl/>
        <w:rPr>
          <w:rFonts w:hint="eastAsia" w:ascii="宋体" w:hAnsi="宋体" w:cs="宋体"/>
          <w:color w:val="000000" w:themeColor="text1"/>
          <w:sz w:val="22"/>
          <w:highlight w:val="none"/>
        </w:rPr>
      </w:pPr>
      <w:r>
        <w:rPr>
          <w:rFonts w:hint="eastAsia" w:ascii="宋体" w:hAnsi="宋体" w:cs="宋体"/>
          <w:color w:val="000000" w:themeColor="text1"/>
          <w:sz w:val="22"/>
          <w:highlight w:val="none"/>
        </w:rPr>
        <w:t xml:space="preserve">2.</w:t>
      </w:r>
      <w:r>
        <w:rPr>
          <w:rFonts w:hint="eastAsia" w:ascii="宋体" w:hAnsi="宋体" w:cs="宋体"/>
          <w:color w:val="000000" w:themeColor="text1"/>
          <w:sz w:val="22"/>
          <w:highlight w:val="none"/>
        </w:rPr>
        <w:t xml:space="preserve">供应商拟投入的项目经理具有公路工程专业二级</w:t>
      </w:r>
      <w:r>
        <w:rPr>
          <w:rFonts w:hint="eastAsia" w:ascii="宋体" w:hAnsi="宋体" w:cs="宋体"/>
          <w:color w:val="000000" w:themeColor="text1"/>
          <w:sz w:val="22"/>
          <w:highlight w:val="none"/>
          <w:lang w:val="en-US" w:eastAsia="zh-CN"/>
        </w:rPr>
        <w:t xml:space="preserve">（含）以上</w:t>
      </w:r>
      <w:r>
        <w:rPr>
          <w:rFonts w:hint="eastAsia" w:ascii="宋体" w:hAnsi="宋体" w:cs="宋体"/>
          <w:color w:val="000000" w:themeColor="text1"/>
          <w:sz w:val="22"/>
          <w:highlight w:val="none"/>
        </w:rPr>
        <w:t xml:space="preserve">注册建造师执业资格，且具有省级及以上交通运输主管部门核发的《公路水运工程施工企业主要负责人和安全生产管理人员安全生产考核合格证书》（B 证）（提供证书扫描件</w:t>
      </w:r>
      <w:r>
        <w:rPr>
          <w:rFonts w:hint="eastAsia" w:ascii="宋体" w:hAnsi="宋体" w:cs="宋体"/>
          <w:color w:val="000000" w:themeColor="text1"/>
          <w:sz w:val="22"/>
          <w:highlight w:val="none"/>
          <w:lang w:val="en-US" w:eastAsia="zh-CN"/>
        </w:rPr>
        <w:t xml:space="preserve">,并加盖电子公章</w:t>
      </w:r>
      <w:r>
        <w:rPr>
          <w:rFonts w:hint="eastAsia" w:ascii="宋体" w:hAnsi="宋体" w:cs="宋体"/>
          <w:color w:val="000000" w:themeColor="text1"/>
          <w:sz w:val="22"/>
          <w:highlight w:val="none"/>
        </w:rPr>
        <w:t xml:space="preserve">）</w:t>
      </w:r>
      <w:r>
        <w:rPr>
          <w:rFonts w:hint="eastAsia" w:ascii="宋体" w:hAnsi="宋体" w:cs="宋体"/>
          <w:color w:val="000000" w:themeColor="text1"/>
          <w:sz w:val="22"/>
          <w:highlight w:val="none"/>
        </w:rPr>
        <w:t xml:space="preserve">。</w:t>
      </w:r>
      <w:r>
        <w:rPr>
          <w:color w:val="000000" w:themeColor="text1"/>
        </w:rPr>
      </w:r>
    </w:p>
    <w:p>
      <w:pPr>
        <w:ind w:firstLine="440"/>
        <w:jc w:val="left"/>
        <w:spacing w:line="520" w:lineRule="exact"/>
        <w:widowControl/>
        <w:rPr>
          <w:rFonts w:ascii="宋体" w:hAnsi="宋体" w:cs="宋体"/>
          <w:color w:val="000000" w:themeColor="text1"/>
          <w:sz w:val="22"/>
          <w:highlight w:val="none"/>
        </w:rPr>
      </w:pPr>
      <w:r>
        <w:rPr>
          <w:rFonts w:hint="eastAsia" w:ascii="宋体" w:hAnsi="宋体" w:cs="宋体"/>
          <w:color w:val="000000" w:themeColor="text1"/>
          <w:sz w:val="22"/>
          <w:highlight w:val="none"/>
          <w:lang w:val="en-US" w:eastAsia="zh-CN"/>
        </w:rPr>
        <w:t xml:space="preserve">3</w:t>
      </w:r>
      <w:r>
        <w:rPr>
          <w:rFonts w:hint="eastAsia" w:ascii="宋体" w:hAnsi="宋体" w:cs="宋体"/>
          <w:color w:val="000000" w:themeColor="text1"/>
          <w:sz w:val="22"/>
          <w:highlight w:val="none"/>
        </w:rPr>
        <w:t xml:space="preserve">.</w:t>
      </w:r>
      <w:r>
        <w:rPr>
          <w:rFonts w:hint="eastAsia" w:ascii="宋体" w:hAnsi="宋体" w:cs="宋体"/>
          <w:color w:val="000000" w:themeColor="text1"/>
          <w:sz w:val="22"/>
          <w:highlight w:val="none"/>
        </w:rPr>
        <w:t xml:space="preserve">供应商拟投入的专职安全员具有省级及以上交通运输主管部门核发的《公路水运工程施工企业主要负责人和安全生产管理人员安全生产考核合格证书》（C证）（提供证书扫描件</w:t>
      </w:r>
      <w:r>
        <w:rPr>
          <w:rFonts w:hint="eastAsia" w:ascii="宋体" w:hAnsi="宋体" w:cs="宋体"/>
          <w:color w:val="000000" w:themeColor="text1"/>
          <w:sz w:val="22"/>
          <w:highlight w:val="none"/>
          <w:lang w:val="en-US" w:eastAsia="zh-CN"/>
        </w:rPr>
        <w:t xml:space="preserve">,并加盖电子公章</w:t>
      </w:r>
      <w:r>
        <w:rPr>
          <w:rFonts w:hint="eastAsia" w:ascii="宋体" w:hAnsi="宋体" w:cs="宋体"/>
          <w:color w:val="000000" w:themeColor="text1"/>
          <w:sz w:val="22"/>
          <w:highlight w:val="none"/>
        </w:rPr>
        <w:t xml:space="preserve">）。</w:t>
      </w:r>
      <w:r>
        <w:rPr>
          <w:color w:val="000000" w:themeColor="text1"/>
        </w:rPr>
      </w:r>
    </w:p>
    <w:p>
      <w:pPr>
        <w:ind w:firstLine="440"/>
        <w:jc w:val="left"/>
        <w:spacing w:line="520" w:lineRule="exact"/>
        <w:widowControl/>
        <w:rPr>
          <w:rFonts w:hint="eastAsia" w:ascii="宋体" w:hAnsi="宋体" w:cs="宋体"/>
          <w:bCs/>
          <w:color w:val="auto"/>
          <w:sz w:val="22"/>
          <w:highlight w:val="none"/>
        </w:rPr>
      </w:pPr>
      <w:r>
        <w:rPr>
          <w:rFonts w:hint="eastAsia" w:ascii="宋体" w:hAnsi="宋体" w:cs="宋体"/>
          <w:bCs/>
          <w:color w:val="auto"/>
          <w:sz w:val="22"/>
          <w:highlight w:val="none"/>
        </w:rPr>
        <w:t xml:space="preserve">（四）拒绝下述供应商参加本次采购活动：</w:t>
      </w:r>
      <w:r/>
    </w:p>
    <w:p>
      <w:pPr>
        <w:ind w:firstLine="440"/>
        <w:jc w:val="left"/>
        <w:spacing w:line="520" w:lineRule="exact"/>
        <w:widowControl/>
        <w:rPr>
          <w:rFonts w:hint="eastAsia" w:ascii="宋体" w:hAnsi="宋体" w:cs="宋体"/>
          <w:bCs/>
          <w:color w:val="auto"/>
          <w:sz w:val="22"/>
          <w:highlight w:val="none"/>
        </w:rPr>
      </w:pPr>
      <w:r>
        <w:rPr>
          <w:rFonts w:hint="eastAsia" w:ascii="宋体" w:hAnsi="宋体" w:cs="宋体"/>
          <w:bCs/>
          <w:color w:val="auto"/>
          <w:sz w:val="22"/>
          <w:highlight w:val="none"/>
        </w:rPr>
        <w:t xml:space="preserve">（1）供应商单位负责人为同一人或者存在直接控股、管理关系的不同供应商，不得参加同一合同项下的政府采购活动。</w:t>
      </w:r>
      <w:r/>
    </w:p>
    <w:p>
      <w:pPr>
        <w:ind w:firstLine="440"/>
        <w:jc w:val="left"/>
        <w:spacing w:line="520" w:lineRule="exact"/>
        <w:widowControl/>
        <w:rPr>
          <w:rFonts w:hint="eastAsia" w:ascii="宋体" w:hAnsi="宋体" w:cs="宋体"/>
          <w:bCs/>
          <w:color w:val="auto"/>
          <w:sz w:val="22"/>
          <w:highlight w:val="none"/>
        </w:rPr>
      </w:pPr>
      <w:r>
        <w:rPr>
          <w:rFonts w:hint="eastAsia" w:ascii="宋体" w:hAnsi="宋体" w:cs="宋体"/>
          <w:bCs/>
          <w:color w:val="auto"/>
          <w:sz w:val="22"/>
          <w:highlight w:val="none"/>
        </w:rPr>
        <w:t xml:space="preserve">（2）凡为采购项目提供整体设计、规范编制或者项目管理、监理、检测等服务的供应商，不得再参加本项目的采购活动。</w:t>
      </w:r>
      <w:r/>
    </w:p>
    <w:p>
      <w:pPr>
        <w:ind w:firstLine="440"/>
        <w:jc w:val="left"/>
        <w:spacing w:line="520" w:lineRule="exact"/>
        <w:widowControl/>
        <w:rPr>
          <w:rFonts w:hint="eastAsia" w:ascii="宋体" w:hAnsi="宋体" w:cs="宋体"/>
          <w:bCs/>
          <w:color w:val="auto"/>
          <w:sz w:val="22"/>
          <w:highlight w:val="none"/>
        </w:rPr>
      </w:pPr>
      <w:r>
        <w:rPr>
          <w:rFonts w:hint="eastAsia" w:ascii="宋体" w:hAnsi="宋体" w:cs="宋体"/>
          <w:bCs/>
          <w:color w:val="auto"/>
          <w:sz w:val="22"/>
          <w:highlight w:val="none"/>
        </w:rPr>
        <w:t xml:space="preserve">（3）供应商被“信用中国”网站、“中国政府采购网”网站列入失信执行人、重大税收违法案件当事人名单、政府采购严重违法失信行为记录名单。</w:t>
      </w:r>
      <w:r/>
    </w:p>
    <w:p>
      <w:pPr>
        <w:ind w:firstLine="440"/>
        <w:jc w:val="left"/>
        <w:spacing w:line="520" w:lineRule="exact"/>
        <w:widowControl/>
        <w:rPr>
          <w:rFonts w:hint="eastAsia" w:ascii="宋体" w:hAnsi="宋体" w:cs="宋体"/>
          <w:bCs/>
          <w:color w:val="auto"/>
          <w:sz w:val="22"/>
          <w:highlight w:val="none"/>
        </w:rPr>
      </w:pPr>
      <w:r>
        <w:rPr>
          <w:rFonts w:hint="eastAsia" w:ascii="宋体" w:hAnsi="宋体" w:cs="宋体"/>
          <w:bCs/>
          <w:color w:val="auto"/>
          <w:sz w:val="22"/>
          <w:highlight w:val="none"/>
        </w:rPr>
        <w:t xml:space="preserve">（4）供应商未按要求提供《南京市政府采购供应商信用记录表暨信用承诺书》。</w:t>
      </w:r>
      <w:r/>
    </w:p>
    <w:p>
      <w:pPr>
        <w:pStyle w:val="807"/>
        <w:rPr>
          <w:rFonts w:hint="eastAsia"/>
          <w:color w:val="auto"/>
        </w:rPr>
      </w:pPr>
      <w:r>
        <w:rPr>
          <w:rFonts w:hint="eastAsia"/>
          <w:color w:val="auto"/>
        </w:rPr>
        <w:t xml:space="preserve">三、获取招标文件</w:t>
      </w:r>
      <w:r/>
    </w:p>
    <w:p>
      <w:pPr>
        <w:ind w:firstLine="422"/>
        <w:jc w:val="left"/>
        <w:spacing w:line="520" w:lineRule="exact"/>
        <w:widowControl/>
        <w:rPr>
          <w:rFonts w:hint="eastAsia" w:ascii="宋体" w:hAnsi="宋体"/>
          <w:color w:val="auto"/>
          <w:sz w:val="22"/>
          <w:highlight w:val="none"/>
          <w:lang w:val="zh-CN"/>
        </w:rPr>
        <w:outlineLvl w:val="1"/>
      </w:pPr>
      <w:r>
        <w:rPr>
          <w:rFonts w:hint="eastAsia" w:ascii="宋体" w:hAnsi="宋体"/>
          <w:color w:val="auto"/>
          <w:sz w:val="22"/>
          <w:highlight w:val="none"/>
          <w:lang w:val="zh-CN"/>
        </w:rPr>
        <w:t xml:space="preserve">时间：自招标文件公告发布之日起5个工作日。</w:t>
      </w:r>
      <w:r/>
    </w:p>
    <w:p>
      <w:pPr>
        <w:ind w:firstLine="422"/>
        <w:jc w:val="left"/>
        <w:spacing w:line="520" w:lineRule="exact"/>
        <w:widowControl/>
        <w:rPr>
          <w:rFonts w:hint="eastAsia" w:ascii="宋体" w:hAnsi="宋体"/>
          <w:color w:val="auto"/>
          <w:sz w:val="22"/>
          <w:highlight w:val="none"/>
          <w:lang w:val="zh-CN"/>
        </w:rPr>
        <w:outlineLvl w:val="1"/>
      </w:pPr>
      <w:r>
        <w:rPr>
          <w:rFonts w:hint="eastAsia" w:ascii="宋体" w:hAnsi="宋体"/>
          <w:color w:val="auto"/>
          <w:sz w:val="22"/>
          <w:highlight w:val="none"/>
          <w:lang w:val="zh-CN"/>
        </w:rPr>
        <w:t xml:space="preserve">地点：江苏政府采购网“苏采云”系统</w:t>
      </w:r>
      <w:r/>
    </w:p>
    <w:p>
      <w:pPr>
        <w:ind w:firstLine="422"/>
        <w:jc w:val="left"/>
        <w:spacing w:line="520" w:lineRule="exact"/>
        <w:widowControl/>
        <w:rPr>
          <w:rFonts w:hint="eastAsia" w:ascii="宋体" w:hAnsi="宋体"/>
          <w:color w:val="auto"/>
          <w:sz w:val="22"/>
          <w:highlight w:val="none"/>
          <w:lang w:val="zh-CN"/>
        </w:rPr>
        <w:outlineLvl w:val="1"/>
      </w:pPr>
      <w:r>
        <w:rPr>
          <w:rFonts w:hint="eastAsia" w:ascii="宋体" w:hAnsi="宋体"/>
          <w:color w:val="auto"/>
          <w:sz w:val="22"/>
          <w:highlight w:val="none"/>
          <w:lang w:val="zh-CN"/>
        </w:rPr>
        <w:t xml:space="preserve">方式：在“江苏政府采购网”免费下载。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pStyle w:val="807"/>
        <w:rPr>
          <w:rFonts w:hint="eastAsia"/>
          <w:color w:val="auto"/>
        </w:rPr>
      </w:pPr>
      <w:r>
        <w:rPr>
          <w:rFonts w:hint="eastAsia"/>
          <w:color w:val="auto"/>
        </w:rPr>
        <w:t xml:space="preserve">四、提交电子投标文件截止时间、开标时间和地点</w:t>
      </w:r>
      <w:r/>
    </w:p>
    <w:p>
      <w:pPr>
        <w:pStyle w:val="838"/>
        <w:ind w:firstLine="420"/>
        <w:spacing w:line="360" w:lineRule="auto"/>
        <w:shd w:val="clear" w:color="auto" w:fill="ffff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截止时间：</w:t>
      </w:r>
      <w:r>
        <w:rPr>
          <w:rFonts w:hint="eastAsia" w:ascii="宋体" w:hAnsi="宋体" w:eastAsia="宋体" w:cs="宋体"/>
          <w:color w:val="auto"/>
          <w:sz w:val="22"/>
          <w:highlight w:val="none"/>
        </w:rPr>
        <w:t xml:space="preserve">2025年</w:t>
      </w:r>
      <w:r>
        <w:rPr>
          <w:rFonts w:hint="eastAsia" w:ascii="宋体" w:hAnsi="宋体" w:cs="宋体"/>
          <w:color w:val="auto"/>
          <w:sz w:val="22"/>
          <w:highlight w:val="none"/>
        </w:rPr>
        <w:t xml:space="preserve">12</w:t>
      </w:r>
      <w:r>
        <w:rPr>
          <w:rFonts w:hint="eastAsia" w:ascii="宋体" w:hAnsi="宋体" w:eastAsia="宋体" w:cs="宋体"/>
          <w:color w:val="auto"/>
          <w:sz w:val="22"/>
          <w:highlight w:val="none"/>
        </w:rPr>
        <w:t xml:space="preserve">月</w:t>
      </w:r>
      <w:r>
        <w:rPr>
          <w:rFonts w:hint="eastAsia" w:ascii="宋体" w:hAnsi="宋体" w:eastAsia="宋体" w:cs="宋体"/>
          <w:color w:val="auto"/>
          <w:sz w:val="22"/>
          <w:highlight w:val="none"/>
          <w:lang w:val="en-US" w:eastAsia="zh-CN"/>
        </w:rPr>
        <w:t xml:space="preserve">30</w:t>
      </w:r>
      <w:r>
        <w:rPr>
          <w:rFonts w:hint="eastAsia" w:ascii="宋体" w:hAnsi="宋体" w:eastAsia="宋体" w:cs="宋体"/>
          <w:color w:val="auto"/>
          <w:sz w:val="22"/>
          <w:highlight w:val="none"/>
        </w:rPr>
        <w:t xml:space="preserve">日</w:t>
      </w:r>
      <w:r>
        <w:rPr>
          <w:rFonts w:hint="eastAsia" w:ascii="宋体" w:hAnsi="宋体" w:eastAsia="宋体" w:cs="宋体"/>
          <w:color w:val="auto"/>
          <w:sz w:val="22"/>
          <w:highlight w:val="none"/>
          <w:lang w:val="en-US" w:eastAsia="zh-CN"/>
        </w:rPr>
        <w:t xml:space="preserve">9</w:t>
      </w:r>
      <w:r>
        <w:rPr>
          <w:rFonts w:hint="eastAsia" w:ascii="宋体" w:hAnsi="宋体" w:eastAsia="宋体" w:cs="宋体"/>
          <w:color w:val="auto"/>
          <w:sz w:val="20"/>
          <w:szCs w:val="20"/>
          <w:highlight w:val="none"/>
        </w:rPr>
        <w:t xml:space="preserve">时</w:t>
      </w:r>
      <w:r>
        <w:rPr>
          <w:rFonts w:hint="eastAsia" w:ascii="宋体" w:hAnsi="宋体" w:eastAsia="宋体" w:cs="宋体"/>
          <w:color w:val="auto"/>
          <w:sz w:val="20"/>
          <w:szCs w:val="20"/>
          <w:highlight w:val="none"/>
          <w:lang w:val="en-US" w:eastAsia="zh-CN"/>
        </w:rPr>
        <w:t xml:space="preserve">30</w:t>
      </w:r>
      <w:r>
        <w:rPr>
          <w:rFonts w:hint="eastAsia" w:ascii="宋体" w:hAnsi="宋体" w:eastAsia="宋体" w:cs="宋体"/>
          <w:color w:val="auto"/>
          <w:sz w:val="20"/>
          <w:szCs w:val="20"/>
          <w:highlight w:val="none"/>
        </w:rPr>
        <w:t xml:space="preserve">分（北京时间） </w:t>
      </w:r>
      <w:r/>
    </w:p>
    <w:p>
      <w:pPr>
        <w:pStyle w:val="838"/>
        <w:ind w:firstLine="420"/>
        <w:spacing w:line="360" w:lineRule="auto"/>
        <w:shd w:val="clear" w:color="auto" w:fill="ffff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地点：</w:t>
      </w:r>
      <w:r>
        <w:rPr>
          <w:rFonts w:hint="eastAsia" w:ascii="宋体" w:hAnsi="宋体" w:eastAsia="宋体" w:cs="宋体"/>
          <w:color w:val="auto"/>
          <w:sz w:val="20"/>
          <w:szCs w:val="20"/>
          <w:highlight w:val="none"/>
        </w:rPr>
        <w:t xml:space="preserve">江苏政府采购网“苏采云”系统</w:t>
      </w:r>
      <w:r/>
    </w:p>
    <w:p>
      <w:pPr>
        <w:pStyle w:val="807"/>
        <w:rPr>
          <w:rFonts w:hint="eastAsia"/>
          <w:color w:val="auto"/>
        </w:rPr>
      </w:pPr>
      <w:r>
        <w:rPr>
          <w:rFonts w:hint="eastAsia"/>
          <w:color w:val="auto"/>
        </w:rPr>
        <w:t xml:space="preserve">五、开启</w:t>
      </w:r>
      <w:r/>
    </w:p>
    <w:p>
      <w:pPr>
        <w:pStyle w:val="838"/>
        <w:ind w:firstLine="400"/>
        <w:spacing w:line="360" w:lineRule="auto"/>
        <w:shd w:val="clear" w:color="auto" w:fill="ffff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时间：</w:t>
      </w:r>
      <w:r>
        <w:rPr>
          <w:rFonts w:hint="eastAsia" w:ascii="宋体" w:hAnsi="宋体" w:eastAsia="宋体" w:cs="宋体"/>
          <w:color w:val="auto"/>
          <w:sz w:val="22"/>
          <w:highlight w:val="none"/>
        </w:rPr>
        <w:t xml:space="preserve">2025年</w:t>
      </w:r>
      <w:r>
        <w:rPr>
          <w:rFonts w:hint="eastAsia" w:ascii="宋体" w:hAnsi="宋体" w:cs="宋体"/>
          <w:color w:val="auto"/>
          <w:sz w:val="22"/>
          <w:highlight w:val="none"/>
        </w:rPr>
        <w:t xml:space="preserve">12</w:t>
      </w:r>
      <w:r>
        <w:rPr>
          <w:rFonts w:hint="eastAsia" w:ascii="宋体" w:hAnsi="宋体" w:eastAsia="宋体" w:cs="宋体"/>
          <w:color w:val="auto"/>
          <w:sz w:val="22"/>
          <w:highlight w:val="none"/>
        </w:rPr>
        <w:t xml:space="preserve">月</w:t>
      </w:r>
      <w:r>
        <w:rPr>
          <w:rFonts w:hint="eastAsia" w:ascii="宋体" w:hAnsi="宋体" w:eastAsia="宋体" w:cs="宋体"/>
          <w:color w:val="auto"/>
          <w:sz w:val="22"/>
          <w:highlight w:val="none"/>
          <w:lang w:val="en-US" w:eastAsia="zh-CN"/>
        </w:rPr>
        <w:t xml:space="preserve">30</w:t>
      </w:r>
      <w:r>
        <w:rPr>
          <w:rFonts w:hint="eastAsia" w:ascii="宋体" w:hAnsi="宋体" w:eastAsia="宋体" w:cs="宋体"/>
          <w:color w:val="auto"/>
          <w:sz w:val="22"/>
          <w:highlight w:val="none"/>
        </w:rPr>
        <w:t xml:space="preserve">日</w:t>
      </w:r>
      <w:r>
        <w:rPr>
          <w:rFonts w:hint="eastAsia" w:ascii="宋体" w:hAnsi="宋体" w:eastAsia="宋体" w:cs="宋体"/>
          <w:color w:val="auto"/>
          <w:sz w:val="22"/>
          <w:highlight w:val="none"/>
          <w:lang w:val="en-US" w:eastAsia="zh-CN"/>
        </w:rPr>
        <w:t xml:space="preserve">9</w:t>
      </w:r>
      <w:r>
        <w:rPr>
          <w:rFonts w:hint="eastAsia" w:ascii="宋体" w:hAnsi="宋体" w:eastAsia="宋体" w:cs="宋体"/>
          <w:color w:val="auto"/>
          <w:sz w:val="20"/>
          <w:szCs w:val="20"/>
          <w:highlight w:val="none"/>
        </w:rPr>
        <w:t xml:space="preserve">时</w:t>
      </w:r>
      <w:r>
        <w:rPr>
          <w:rFonts w:hint="eastAsia" w:ascii="宋体" w:hAnsi="宋体" w:eastAsia="宋体" w:cs="宋体"/>
          <w:color w:val="auto"/>
          <w:sz w:val="20"/>
          <w:szCs w:val="20"/>
          <w:highlight w:val="none"/>
          <w:lang w:val="en-US" w:eastAsia="zh-CN"/>
        </w:rPr>
        <w:t xml:space="preserve">30</w:t>
      </w:r>
      <w:r>
        <w:rPr>
          <w:rFonts w:hint="eastAsia" w:ascii="宋体" w:hAnsi="宋体" w:eastAsia="宋体" w:cs="宋体"/>
          <w:color w:val="auto"/>
          <w:sz w:val="20"/>
          <w:szCs w:val="20"/>
          <w:highlight w:val="none"/>
        </w:rPr>
        <w:t xml:space="preserve">分（北京时间）</w:t>
      </w:r>
      <w:r/>
    </w:p>
    <w:p>
      <w:pPr>
        <w:ind w:firstLine="400"/>
        <w:jc w:val="left"/>
        <w:spacing w:line="360" w:lineRule="auto"/>
        <w:shd w:val="clear" w:color="auto" w:fill="ffffff"/>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地点：苏采云系统开标大厅</w:t>
      </w:r>
      <w:r/>
    </w:p>
    <w:p>
      <w:pPr>
        <w:pStyle w:val="807"/>
        <w:rPr>
          <w:rFonts w:hint="eastAsia"/>
          <w:color w:val="auto"/>
        </w:rPr>
      </w:pPr>
      <w:r>
        <w:rPr>
          <w:rFonts w:hint="eastAsia"/>
          <w:color w:val="auto"/>
        </w:rPr>
        <w:t xml:space="preserve">六、公告期限</w:t>
      </w:r>
      <w:r/>
    </w:p>
    <w:p>
      <w:pPr>
        <w:ind w:firstLine="400"/>
        <w:spacing w:line="360" w:lineRule="auto"/>
        <w:tabs>
          <w:tab w:val="left" w:pos="0" w:leader="none"/>
          <w:tab w:val="left" w:pos="510" w:leader="none"/>
          <w:tab w:val="left" w:pos="1134" w:leader="none"/>
        </w:tabs>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自本公告发布之日起5个工作日内</w:t>
      </w:r>
      <w:r/>
    </w:p>
    <w:p>
      <w:pPr>
        <w:pStyle w:val="807"/>
        <w:rPr>
          <w:rFonts w:hint="eastAsia"/>
          <w:color w:val="auto"/>
        </w:rPr>
      </w:pPr>
      <w:r>
        <w:rPr>
          <w:rFonts w:hint="eastAsia"/>
          <w:color w:val="auto"/>
        </w:rPr>
        <w:t xml:space="preserve">七、其他补充事宜</w:t>
      </w:r>
      <w:r/>
    </w:p>
    <w:p>
      <w:pPr>
        <w:ind w:firstLine="440"/>
        <w:jc w:val="left"/>
        <w:spacing w:line="520" w:lineRule="exact"/>
        <w:widowControl/>
        <w:rPr>
          <w:rFonts w:hint="eastAsia" w:ascii="宋体" w:hAnsi="宋体" w:cs="宋体"/>
          <w:bCs/>
          <w:color w:val="auto"/>
          <w:sz w:val="22"/>
          <w:highlight w:val="none"/>
        </w:rPr>
      </w:pPr>
      <w:r>
        <w:rPr>
          <w:rFonts w:hint="eastAsia" w:ascii="宋体" w:hAnsi="宋体" w:cs="宋体"/>
          <w:bCs/>
          <w:color w:val="auto"/>
          <w:sz w:val="22"/>
          <w:highlight w:val="none"/>
        </w:rPr>
        <w:t xml:space="preserve">1.本次采购采用“政府采购管理交易系统（苏采云）”，招标、投标、评标和中标结果发布全程电子化，开标方式为不见面开标。投标人通过苏采云系统参与政府采购项目，需要办理江苏省政府采购数字证书及电子签章，具体详见苏采云系统登录页“新CA办理指南”。投标人按《政府采购管理交易系统（苏采云）供应商操作手册》（以下简称“操作手册”）进行注册，并制作上传投标文件。如投标人未按要求操作，由此所产生的风险由供应商自行承担。《操作手册》下载地址：</w:t>
      </w:r>
      <w:r>
        <w:rPr>
          <w:color w:val="auto"/>
          <w:highlight w:val="none"/>
        </w:rPr>
        <w:fldChar w:fldCharType="begin"/>
      </w:r>
      <w:r>
        <w:rPr>
          <w:color w:val="auto"/>
          <w:highlight w:val="none"/>
        </w:rPr>
        <w:instrText xml:space="preserve">HYPERLINK "http://www.ccgp-jiangsu.gov.cn/jiangsu/zlxz/ee/ee3a4bc5a3454aa2b0d9312230633ce9.html"</w:instrText>
      </w:r>
      <w:r>
        <w:rPr>
          <w:color w:val="auto"/>
          <w:highlight w:val="none"/>
        </w:rPr>
        <w:fldChar w:fldCharType="separate"/>
      </w:r>
      <w:r>
        <w:rPr>
          <w:rFonts w:hint="eastAsia" w:ascii="宋体" w:hAnsi="宋体" w:cs="宋体"/>
          <w:bCs/>
          <w:color w:val="auto"/>
          <w:sz w:val="22"/>
          <w:highlight w:val="none"/>
        </w:rPr>
        <w:t xml:space="preserve">http://www.ccgp-jiangsu.gov.cn/jiangsu/zlxz/ee/ee3a4bc5a3454aa2b0d9312230633ce9.html</w:t>
      </w:r>
      <w:r>
        <w:rPr>
          <w:rFonts w:ascii="宋体" w:hAnsi="宋体" w:cs="宋体"/>
          <w:bCs/>
          <w:color w:val="auto"/>
          <w:sz w:val="22"/>
          <w:highlight w:val="none"/>
        </w:rPr>
        <w:fldChar w:fldCharType="end"/>
      </w:r>
      <w:r>
        <w:rPr>
          <w:rFonts w:hint="eastAsia" w:ascii="宋体" w:hAnsi="宋体" w:cs="宋体"/>
          <w:bCs/>
          <w:color w:val="auto"/>
          <w:sz w:val="22"/>
          <w:highlight w:val="none"/>
        </w:rPr>
        <w:t xml:space="preserve">（“苏采云”南京地区客服热线025-83633744、025-83633743）。</w:t>
      </w:r>
      <w:r/>
    </w:p>
    <w:p>
      <w:pPr>
        <w:ind w:firstLine="440"/>
        <w:jc w:val="left"/>
        <w:spacing w:line="520" w:lineRule="exact"/>
        <w:widowControl/>
        <w:rPr>
          <w:rFonts w:hint="eastAsia" w:ascii="宋体" w:hAnsi="宋体" w:cs="宋体"/>
          <w:bCs/>
          <w:color w:val="auto"/>
          <w:sz w:val="22"/>
          <w:highlight w:val="none"/>
        </w:rPr>
      </w:pPr>
      <w:r>
        <w:rPr>
          <w:rFonts w:hint="eastAsia" w:ascii="宋体" w:hAnsi="宋体" w:cs="宋体"/>
          <w:bCs/>
          <w:color w:val="auto"/>
          <w:sz w:val="22"/>
          <w:highlight w:val="none"/>
        </w:rPr>
        <w:t xml:space="preserve">2.潜在投标人访问政府采购管理交易系统（苏采云）的网络地址和方法：</w:t>
      </w:r>
      <w:r/>
    </w:p>
    <w:p>
      <w:pPr>
        <w:ind w:firstLine="440"/>
        <w:jc w:val="left"/>
        <w:spacing w:line="520" w:lineRule="exact"/>
        <w:widowControl/>
        <w:rPr>
          <w:rFonts w:hint="eastAsia" w:ascii="宋体" w:hAnsi="宋体" w:cs="宋体"/>
          <w:bCs/>
          <w:color w:val="auto"/>
          <w:sz w:val="22"/>
          <w:highlight w:val="none"/>
        </w:rPr>
      </w:pPr>
      <w:r>
        <w:rPr>
          <w:rFonts w:hint="eastAsia" w:ascii="宋体" w:hAnsi="宋体" w:cs="宋体"/>
          <w:bCs/>
          <w:color w:val="auto"/>
          <w:sz w:val="22"/>
          <w:highlight w:val="none"/>
        </w:rPr>
        <w:t xml:space="preserve">（1）潜在投标人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40"/>
        <w:jc w:val="left"/>
        <w:spacing w:line="520" w:lineRule="exact"/>
        <w:widowControl/>
        <w:rPr>
          <w:rFonts w:hint="eastAsia" w:ascii="宋体" w:hAnsi="宋体" w:cs="宋体"/>
          <w:bCs/>
          <w:color w:val="auto"/>
          <w:sz w:val="22"/>
          <w:highlight w:val="none"/>
        </w:rPr>
      </w:pPr>
      <w:r>
        <w:rPr>
          <w:rFonts w:hint="eastAsia" w:ascii="宋体" w:hAnsi="宋体" w:cs="宋体"/>
          <w:bCs/>
          <w:color w:val="auto"/>
          <w:sz w:val="22"/>
          <w:highlight w:val="none"/>
        </w:rPr>
        <w:t xml:space="preserve">（2）“CA数字证书”的获取：投标人需办理CA锁，“苏采云系统”目前仅支持“苏采云系统”下的政务CA，省内各地区办理的“苏采云系统”下的政务CA全省通用。</w:t>
      </w:r>
      <w:r/>
    </w:p>
    <w:p>
      <w:pPr>
        <w:ind w:firstLine="440"/>
        <w:jc w:val="left"/>
        <w:spacing w:line="520" w:lineRule="exact"/>
        <w:widowControl/>
        <w:rPr>
          <w:rFonts w:hint="eastAsia" w:ascii="宋体" w:hAnsi="宋体" w:cs="宋体"/>
          <w:bCs/>
          <w:color w:val="auto"/>
          <w:sz w:val="22"/>
          <w:highlight w:val="none"/>
        </w:rPr>
      </w:pPr>
      <w:r>
        <w:rPr>
          <w:rFonts w:hint="eastAsia" w:ascii="宋体" w:hAnsi="宋体" w:cs="宋体"/>
          <w:bCs/>
          <w:color w:val="auto"/>
          <w:sz w:val="22"/>
          <w:highlight w:val="none"/>
        </w:rPr>
        <w:t xml:space="preserve">（3）“CA数字证书”的办理材料以及供应商操作手册详见：http://jsxcmm.com/help/gys.html。</w:t>
      </w:r>
      <w:r/>
    </w:p>
    <w:p>
      <w:pPr>
        <w:ind w:firstLine="440"/>
        <w:jc w:val="left"/>
        <w:spacing w:line="520" w:lineRule="exact"/>
        <w:widowControl/>
        <w:rPr>
          <w:rFonts w:hint="eastAsia" w:ascii="宋体" w:hAnsi="宋体" w:cs="宋体"/>
          <w:bCs/>
          <w:color w:val="auto"/>
          <w:sz w:val="22"/>
          <w:highlight w:val="none"/>
        </w:rPr>
      </w:pPr>
      <w:r>
        <w:rPr>
          <w:rFonts w:hint="eastAsia" w:ascii="宋体" w:hAnsi="宋体" w:cs="宋体"/>
          <w:bCs/>
          <w:color w:val="auto"/>
          <w:sz w:val="22"/>
          <w:highlight w:val="none"/>
        </w:rPr>
        <w:t xml:space="preserve">（4）潜在投标人访问“苏采云系统”的网络地址和方法：“苏采云系统”的网址：http://jszfcg.jsczt.cn/jszc/login。</w:t>
      </w:r>
      <w:r/>
    </w:p>
    <w:p>
      <w:pPr>
        <w:ind w:firstLine="440"/>
        <w:jc w:val="left"/>
        <w:spacing w:line="520" w:lineRule="exact"/>
        <w:widowControl/>
        <w:rPr>
          <w:rFonts w:hint="eastAsia" w:ascii="宋体" w:hAnsi="宋体" w:cs="宋体"/>
          <w:bCs/>
          <w:color w:val="auto"/>
          <w:sz w:val="22"/>
          <w:highlight w:val="none"/>
        </w:rPr>
      </w:pPr>
      <w:r>
        <w:rPr>
          <w:rFonts w:hint="eastAsia" w:ascii="宋体" w:hAnsi="宋体" w:cs="宋体"/>
          <w:bCs/>
          <w:color w:val="auto"/>
          <w:sz w:val="22"/>
          <w:highlight w:val="none"/>
        </w:rPr>
        <w:t xml:space="preserve">（5）采购文件（后缀名为“.kedt”）、投标人操作手册及政府采购客户端工具也可通过“苏采云系统” --已报名项目--报名详情页面内相应链接进行下载。</w:t>
      </w:r>
      <w:r/>
    </w:p>
    <w:p>
      <w:pPr>
        <w:ind w:firstLine="440"/>
        <w:jc w:val="left"/>
        <w:spacing w:line="520" w:lineRule="exact"/>
        <w:widowControl/>
        <w:rPr>
          <w:rFonts w:hint="eastAsia" w:ascii="宋体" w:hAnsi="宋体" w:cs="宋体"/>
          <w:bCs/>
          <w:color w:val="auto"/>
          <w:sz w:val="22"/>
          <w:highlight w:val="none"/>
        </w:rPr>
      </w:pPr>
      <w:r>
        <w:rPr>
          <w:rFonts w:hint="eastAsia" w:ascii="宋体" w:hAnsi="宋体" w:cs="宋体"/>
          <w:bCs/>
          <w:color w:val="auto"/>
          <w:sz w:val="22"/>
          <w:highlight w:val="none"/>
        </w:rPr>
        <w:t xml:space="preserve">（6）采购代理机构将数据电文形式的采购文件加载至“苏采云系统”，供潜在投标人下载或者查阅。    </w:t>
      </w:r>
      <w:r/>
    </w:p>
    <w:p>
      <w:pPr>
        <w:ind w:firstLine="440"/>
        <w:jc w:val="left"/>
        <w:spacing w:line="520" w:lineRule="exact"/>
        <w:widowControl/>
        <w:rPr>
          <w:rFonts w:hint="eastAsia" w:ascii="宋体" w:hAnsi="宋体" w:cs="宋体"/>
          <w:bCs/>
          <w:color w:val="auto"/>
          <w:sz w:val="22"/>
          <w:highlight w:val="none"/>
        </w:rPr>
      </w:pPr>
      <w:r>
        <w:rPr>
          <w:rFonts w:hint="eastAsia" w:ascii="宋体" w:hAnsi="宋体" w:cs="宋体"/>
          <w:bCs/>
          <w:color w:val="auto"/>
          <w:sz w:val="22"/>
          <w:highlight w:val="none"/>
        </w:rPr>
        <w:t xml:space="preserve">3.根据《关于在政府采购活动中推行信用承诺制的通知》宁财购通〔2021〕5号规定， 参加南京地区政府采购活动的投标人，应以原件扫描盖章件形式向采购人或政府采购代理机构作出信用承诺。供应商应尽早做好承诺工作，点击‘南京公共采购信息网’首页‘南京市政府采购供应商诚信档案’系统链接打开系统页面登录（未注册的供应商应先点击‘供应商注册点这里’并按要求完成注册），然后在“信用记录”模块页面点击“信用记录打印”下载本单位《南京市政府采购供应商信用记录表暨信用承诺书》，</w:t>
      </w:r>
      <w:r>
        <w:rPr>
          <w:rFonts w:hint="eastAsia" w:ascii="宋体" w:hAnsi="宋体" w:cs="宋体"/>
          <w:b/>
          <w:color w:val="auto"/>
          <w:sz w:val="22"/>
          <w:highlight w:val="none"/>
        </w:rPr>
        <w:t xml:space="preserve">本表打印时间必须在采购文件发布之日起至提交电子投标文件截止日前，由法人签字并盖单位公章，原件扫描件上传至电子投标文件中。</w:t>
      </w:r>
      <w:r/>
    </w:p>
    <w:p>
      <w:pPr>
        <w:ind w:firstLine="440"/>
        <w:jc w:val="left"/>
        <w:spacing w:line="520" w:lineRule="exact"/>
        <w:widowControl/>
        <w:rPr>
          <w:rFonts w:hint="eastAsia" w:ascii="宋体" w:hAnsi="宋体" w:cs="宋体"/>
          <w:bCs/>
          <w:color w:val="auto"/>
          <w:sz w:val="22"/>
          <w:highlight w:val="none"/>
        </w:rPr>
      </w:pPr>
      <w:r>
        <w:rPr>
          <w:rFonts w:hint="eastAsia" w:ascii="宋体" w:hAnsi="宋体" w:cs="宋体"/>
          <w:bCs/>
          <w:color w:val="auto"/>
          <w:sz w:val="22"/>
          <w:highlight w:val="none"/>
        </w:rPr>
        <w:t xml:space="preserve">供应商诚信档案注册登记，按以下程序进行： </w:t>
      </w:r>
      <w:r/>
    </w:p>
    <w:p>
      <w:pPr>
        <w:ind w:firstLine="440"/>
        <w:jc w:val="left"/>
        <w:spacing w:line="520" w:lineRule="exact"/>
        <w:widowControl/>
        <w:rPr>
          <w:rFonts w:hint="eastAsia" w:ascii="宋体" w:hAnsi="宋体" w:cs="宋体"/>
          <w:bCs/>
          <w:color w:val="auto"/>
          <w:sz w:val="22"/>
          <w:highlight w:val="none"/>
        </w:rPr>
      </w:pPr>
      <w:r>
        <w:rPr>
          <w:rFonts w:hint="eastAsia" w:ascii="宋体" w:hAnsi="宋体" w:cs="宋体"/>
          <w:bCs/>
          <w:color w:val="auto"/>
          <w:sz w:val="22"/>
          <w:highlight w:val="none"/>
        </w:rPr>
        <w:t xml:space="preserve">（1）进入“信用南京”或“南京公共采购信息网”网站，点击“南京政府采购供应商诚信档案”图标，或直接输入访问地址，在用户登录界面点击“新用户注册”；</w:t>
      </w:r>
      <w:r/>
    </w:p>
    <w:p>
      <w:pPr>
        <w:ind w:firstLine="440"/>
        <w:jc w:val="left"/>
        <w:spacing w:line="520" w:lineRule="exact"/>
        <w:widowControl/>
        <w:rPr>
          <w:rFonts w:hint="eastAsia" w:ascii="宋体" w:hAnsi="宋体" w:cs="宋体"/>
          <w:bCs/>
          <w:color w:val="auto"/>
          <w:sz w:val="22"/>
          <w:highlight w:val="none"/>
        </w:rPr>
      </w:pPr>
      <w:r>
        <w:rPr>
          <w:rFonts w:hint="eastAsia" w:ascii="宋体" w:hAnsi="宋体" w:cs="宋体"/>
          <w:bCs/>
          <w:color w:val="auto"/>
          <w:sz w:val="22"/>
          <w:highlight w:val="none"/>
        </w:rPr>
        <w:t xml:space="preserve">（2）在“新用户注册”界面，供应商自行设置用户名、登录密码，如实填写《南京市政府采购供应商诚信档案注册登记表》，并进行信用承诺确认后，提交注册申请； </w:t>
      </w:r>
      <w:r/>
    </w:p>
    <w:p>
      <w:pPr>
        <w:ind w:firstLine="440"/>
        <w:jc w:val="left"/>
        <w:spacing w:line="520" w:lineRule="exact"/>
        <w:widowControl/>
        <w:rPr>
          <w:rFonts w:hint="eastAsia" w:ascii="宋体" w:hAnsi="宋体" w:cs="宋体"/>
          <w:bCs/>
          <w:color w:val="auto"/>
          <w:sz w:val="22"/>
          <w:highlight w:val="none"/>
        </w:rPr>
      </w:pPr>
      <w:r>
        <w:rPr>
          <w:rFonts w:hint="eastAsia" w:ascii="宋体" w:hAnsi="宋体" w:cs="宋体"/>
          <w:bCs/>
          <w:color w:val="auto"/>
          <w:sz w:val="22"/>
          <w:highlight w:val="none"/>
        </w:rPr>
        <w:t xml:space="preserve">（3）系统审核后，供应商即可登录系统进行相关功能操作。</w:t>
      </w:r>
      <w:r/>
    </w:p>
    <w:p>
      <w:pPr>
        <w:ind w:firstLine="440"/>
        <w:jc w:val="left"/>
        <w:spacing w:line="520" w:lineRule="exact"/>
        <w:widowControl/>
        <w:rPr>
          <w:rFonts w:hint="eastAsia" w:ascii="宋体" w:hAnsi="宋体" w:cs="宋体"/>
          <w:bCs/>
          <w:color w:val="auto"/>
          <w:sz w:val="22"/>
          <w:highlight w:val="none"/>
        </w:rPr>
      </w:pPr>
      <w:r>
        <w:rPr>
          <w:rFonts w:hint="eastAsia" w:ascii="宋体" w:hAnsi="宋体" w:cs="宋体"/>
          <w:bCs/>
          <w:color w:val="auto"/>
          <w:sz w:val="22"/>
          <w:highlight w:val="none"/>
        </w:rPr>
        <w:t xml:space="preserve">南京市政府采购供应商诚信档案管理系统客服电话：025-52718366；供应商可就用户注册与打印“南京市政府采购供应商信用记录表暨信用承诺书”等事宜进行咨询。</w:t>
      </w:r>
      <w:r/>
    </w:p>
    <w:p>
      <w:pPr>
        <w:ind w:firstLine="442"/>
        <w:jc w:val="left"/>
        <w:spacing w:line="520" w:lineRule="exact"/>
        <w:widowControl/>
        <w:rPr>
          <w:rFonts w:hint="eastAsia" w:ascii="宋体" w:hAnsi="宋体" w:cs="宋体"/>
          <w:b/>
          <w:color w:val="auto"/>
          <w:sz w:val="22"/>
          <w:highlight w:val="none"/>
        </w:rPr>
      </w:pPr>
      <w:r>
        <w:rPr>
          <w:rFonts w:hint="eastAsia" w:ascii="宋体" w:hAnsi="宋体" w:cs="宋体"/>
          <w:b/>
          <w:color w:val="auto"/>
          <w:sz w:val="22"/>
          <w:highlight w:val="none"/>
        </w:rPr>
        <w:t xml:space="preserve">注：本表打印时间必须在采购文件发布之日起至提交电子投标文件截止日前，由法人签字并盖单位公章，原件扫描件上传至电子投标文件中。</w:t>
      </w:r>
      <w:r/>
    </w:p>
    <w:p>
      <w:pPr>
        <w:ind w:firstLine="440"/>
        <w:jc w:val="left"/>
        <w:spacing w:line="520" w:lineRule="exact"/>
        <w:widowControl/>
        <w:rPr>
          <w:rFonts w:hint="eastAsia" w:ascii="宋体" w:hAnsi="宋体" w:cs="宋体"/>
          <w:bCs/>
          <w:color w:val="auto"/>
          <w:sz w:val="22"/>
          <w:highlight w:val="none"/>
        </w:rPr>
      </w:pPr>
      <w:r>
        <w:rPr>
          <w:rFonts w:hint="eastAsia" w:ascii="宋体" w:hAnsi="宋体" w:cs="宋体"/>
          <w:bCs/>
          <w:color w:val="auto"/>
          <w:sz w:val="22"/>
          <w:highlight w:val="none"/>
        </w:rPr>
        <w:t xml:space="preserve">4.拒绝下述供应商参加本次采购活动：</w:t>
      </w:r>
      <w:r/>
    </w:p>
    <w:p>
      <w:pPr>
        <w:ind w:firstLine="440"/>
        <w:jc w:val="left"/>
        <w:spacing w:line="520" w:lineRule="exact"/>
        <w:widowControl/>
        <w:rPr>
          <w:rFonts w:hint="eastAsia" w:ascii="宋体" w:hAnsi="宋体" w:cs="宋体"/>
          <w:bCs/>
          <w:color w:val="auto"/>
          <w:sz w:val="22"/>
          <w:highlight w:val="none"/>
        </w:rPr>
      </w:pPr>
      <w:r>
        <w:rPr>
          <w:rFonts w:hint="eastAsia" w:ascii="宋体" w:hAnsi="宋体" w:cs="宋体"/>
          <w:bCs/>
          <w:color w:val="auto"/>
          <w:sz w:val="22"/>
          <w:highlight w:val="none"/>
        </w:rPr>
        <w:t xml:space="preserve">（1）单位负责人为同一人或者存在直接控股、管理关系的不同供应商。</w:t>
      </w:r>
      <w:r/>
    </w:p>
    <w:p>
      <w:pPr>
        <w:ind w:firstLine="440"/>
        <w:jc w:val="left"/>
        <w:spacing w:line="520" w:lineRule="exact"/>
        <w:widowControl/>
        <w:rPr>
          <w:rFonts w:hint="eastAsia" w:ascii="宋体" w:hAnsi="宋体" w:cs="宋体"/>
          <w:bCs/>
          <w:color w:val="auto"/>
          <w:sz w:val="22"/>
          <w:highlight w:val="none"/>
        </w:rPr>
      </w:pPr>
      <w:r>
        <w:rPr>
          <w:rFonts w:hint="eastAsia" w:ascii="宋体" w:hAnsi="宋体" w:cs="宋体"/>
          <w:bCs/>
          <w:color w:val="auto"/>
          <w:sz w:val="22"/>
          <w:highlight w:val="none"/>
        </w:rPr>
        <w:t xml:space="preserve">（2）凡为采购项目提供整体设计、规范编制或者项目管理、监理、检测等服务的供应商。</w:t>
      </w:r>
      <w:r/>
    </w:p>
    <w:p>
      <w:pPr>
        <w:ind w:firstLine="440"/>
        <w:jc w:val="left"/>
        <w:spacing w:line="520" w:lineRule="exact"/>
        <w:widowControl/>
        <w:rPr>
          <w:rFonts w:hint="eastAsia" w:ascii="宋体" w:hAnsi="宋体" w:cs="宋体"/>
          <w:bCs/>
          <w:color w:val="auto"/>
          <w:sz w:val="22"/>
          <w:highlight w:val="none"/>
        </w:rPr>
      </w:pPr>
      <w:r>
        <w:rPr>
          <w:rFonts w:hint="eastAsia" w:ascii="宋体" w:hAnsi="宋体" w:cs="宋体"/>
          <w:bCs/>
          <w:color w:val="auto"/>
          <w:sz w:val="22"/>
          <w:highlight w:val="none"/>
        </w:rPr>
        <w:t xml:space="preserve">（3）投标人被“信用中国”、“中国政府采购网”网站列入失信执行人、重大税收违法案件当事人名单、政府采购严重违法失信行为记录名单。</w:t>
      </w:r>
      <w:r/>
    </w:p>
    <w:p>
      <w:pPr>
        <w:ind w:firstLine="440"/>
        <w:jc w:val="left"/>
        <w:spacing w:line="520" w:lineRule="exact"/>
        <w:widowControl/>
        <w:rPr>
          <w:rFonts w:hint="eastAsia" w:ascii="宋体" w:hAnsi="宋体" w:cs="宋体"/>
          <w:bCs/>
          <w:color w:val="auto"/>
          <w:sz w:val="22"/>
          <w:highlight w:val="none"/>
        </w:rPr>
      </w:pPr>
      <w:r>
        <w:rPr>
          <w:rFonts w:hint="eastAsia" w:ascii="宋体" w:hAnsi="宋体" w:cs="宋体"/>
          <w:bCs/>
          <w:color w:val="auto"/>
          <w:sz w:val="22"/>
          <w:highlight w:val="none"/>
        </w:rPr>
        <w:t xml:space="preserve">（4）投标人未按要求提供《南京市政府采购供应商信用记录表暨信用承诺书》。</w:t>
      </w:r>
      <w:r/>
    </w:p>
    <w:p>
      <w:pPr>
        <w:ind w:firstLine="440"/>
        <w:jc w:val="left"/>
        <w:spacing w:line="520" w:lineRule="exact"/>
        <w:widowControl/>
        <w:rPr>
          <w:rFonts w:hint="eastAsia" w:ascii="宋体" w:hAnsi="宋体" w:cs="宋体"/>
          <w:bCs/>
          <w:color w:val="auto"/>
          <w:sz w:val="22"/>
          <w:highlight w:val="none"/>
        </w:rPr>
      </w:pPr>
      <w:r>
        <w:rPr>
          <w:rFonts w:hint="eastAsia" w:ascii="宋体" w:hAnsi="宋体" w:cs="宋体"/>
          <w:bCs/>
          <w:color w:val="auto"/>
          <w:sz w:val="22"/>
          <w:highlight w:val="none"/>
        </w:rPr>
        <w:t xml:space="preserve">5.本项目不接受进口产品投标。</w:t>
      </w:r>
      <w:r/>
    </w:p>
    <w:p>
      <w:pPr>
        <w:ind w:firstLine="440"/>
        <w:jc w:val="left"/>
        <w:spacing w:line="520" w:lineRule="exact"/>
        <w:widowControl/>
        <w:rPr>
          <w:rFonts w:hint="eastAsia" w:ascii="宋体" w:hAnsi="宋体" w:cs="宋体"/>
          <w:bCs/>
          <w:color w:val="auto"/>
          <w:sz w:val="22"/>
          <w:highlight w:val="none"/>
        </w:rPr>
      </w:pPr>
      <w:r>
        <w:rPr>
          <w:rFonts w:hint="eastAsia" w:ascii="宋体" w:hAnsi="宋体" w:cs="宋体"/>
          <w:bCs/>
          <w:color w:val="auto"/>
          <w:sz w:val="22"/>
          <w:highlight w:val="none"/>
        </w:rPr>
        <w:t xml:space="preserve">6.本项目的招标代理服务费由中标人支付，具体详见采购文件。</w:t>
      </w:r>
      <w:r/>
    </w:p>
    <w:p>
      <w:pPr>
        <w:pStyle w:val="807"/>
        <w:rPr>
          <w:rFonts w:hint="eastAsia"/>
          <w:color w:val="auto"/>
        </w:rPr>
      </w:pPr>
      <w:r>
        <w:rPr>
          <w:rFonts w:hint="eastAsia"/>
          <w:color w:val="auto"/>
        </w:rPr>
        <w:t xml:space="preserve">八、对本次招标提出询问，请按以下方式联系</w:t>
      </w:r>
      <w:r/>
    </w:p>
    <w:p>
      <w:pPr>
        <w:ind w:firstLine="440"/>
        <w:spacing w:line="520" w:lineRule="exact"/>
        <w:tabs>
          <w:tab w:val="left" w:pos="0" w:leader="none"/>
          <w:tab w:val="left" w:pos="510" w:leader="none"/>
          <w:tab w:val="left" w:pos="1134" w:leader="none"/>
        </w:tabs>
        <w:rPr>
          <w:rFonts w:hint="eastAsia" w:ascii="宋体" w:hAnsi="宋体" w:cs="Trebuchet MS"/>
          <w:color w:val="auto"/>
          <w:sz w:val="22"/>
          <w:highlight w:val="none"/>
        </w:rPr>
      </w:pPr>
      <w:r>
        <w:rPr>
          <w:rFonts w:hint="eastAsia" w:ascii="宋体" w:hAnsi="宋体" w:cs="Trebuchet MS"/>
          <w:color w:val="auto"/>
          <w:sz w:val="22"/>
          <w:highlight w:val="none"/>
        </w:rPr>
        <w:t xml:space="preserve">1.采购人信息</w:t>
      </w:r>
      <w:r/>
    </w:p>
    <w:p>
      <w:pPr>
        <w:ind w:firstLine="440"/>
        <w:spacing w:line="520" w:lineRule="exact"/>
        <w:tabs>
          <w:tab w:val="left" w:pos="0" w:leader="none"/>
          <w:tab w:val="left" w:pos="510" w:leader="none"/>
          <w:tab w:val="left" w:pos="1134" w:leader="none"/>
        </w:tabs>
        <w:rPr>
          <w:rFonts w:hint="eastAsia" w:ascii="宋体" w:hAnsi="宋体" w:cs="Trebuchet MS"/>
          <w:color w:val="auto"/>
          <w:sz w:val="22"/>
          <w:highlight w:val="none"/>
        </w:rPr>
      </w:pPr>
      <w:r>
        <w:rPr>
          <w:rFonts w:hint="eastAsia" w:ascii="宋体" w:hAnsi="宋体" w:cs="Trebuchet MS"/>
          <w:color w:val="auto"/>
          <w:sz w:val="22"/>
          <w:highlight w:val="none"/>
        </w:rPr>
        <w:t xml:space="preserve">名称：</w:t>
      </w:r>
      <w:r>
        <w:rPr>
          <w:rFonts w:hint="eastAsia" w:ascii="宋体" w:hAnsi="宋体"/>
          <w:color w:val="auto"/>
          <w:sz w:val="22"/>
          <w:highlight w:val="none"/>
        </w:rPr>
        <w:t xml:space="preserve">南京市江宁区交</w:t>
      </w:r>
      <w:r>
        <w:rPr>
          <w:rFonts w:hint="eastAsia" w:ascii="宋体" w:hAnsi="宋体" w:cs="Trebuchet MS"/>
          <w:color w:val="auto"/>
          <w:sz w:val="22"/>
          <w:highlight w:val="none"/>
        </w:rPr>
        <w:t xml:space="preserve">通运输局</w:t>
      </w:r>
      <w:r/>
    </w:p>
    <w:p>
      <w:pPr>
        <w:ind w:firstLine="440"/>
        <w:spacing w:line="520" w:lineRule="exact"/>
        <w:tabs>
          <w:tab w:val="left" w:pos="0" w:leader="none"/>
          <w:tab w:val="left" w:pos="510" w:leader="none"/>
          <w:tab w:val="left" w:pos="1134" w:leader="none"/>
        </w:tabs>
        <w:rPr>
          <w:rFonts w:hint="eastAsia" w:ascii="宋体" w:hAnsi="宋体" w:cs="Trebuchet MS"/>
          <w:color w:val="auto"/>
          <w:sz w:val="22"/>
          <w:highlight w:val="none"/>
        </w:rPr>
      </w:pPr>
      <w:r>
        <w:rPr>
          <w:rFonts w:hint="eastAsia" w:ascii="宋体" w:hAnsi="宋体" w:cs="Trebuchet MS"/>
          <w:color w:val="auto"/>
          <w:sz w:val="22"/>
          <w:highlight w:val="none"/>
        </w:rPr>
        <w:t xml:space="preserve">地址：南京市江宁区科宁路779号</w:t>
      </w:r>
      <w:r/>
    </w:p>
    <w:p>
      <w:pPr>
        <w:ind w:firstLine="440"/>
        <w:spacing w:line="520" w:lineRule="exact"/>
        <w:tabs>
          <w:tab w:val="left" w:pos="0" w:leader="none"/>
          <w:tab w:val="left" w:pos="510" w:leader="none"/>
          <w:tab w:val="left" w:pos="1134" w:leader="none"/>
        </w:tabs>
        <w:rPr>
          <w:rFonts w:hint="eastAsia" w:eastAsia="宋体"/>
          <w:color w:val="auto"/>
          <w:highlight w:val="none"/>
          <w:lang w:eastAsia="zh-CN"/>
        </w:rPr>
      </w:pPr>
      <w:r>
        <w:rPr>
          <w:rFonts w:hint="eastAsia" w:ascii="宋体" w:hAnsi="宋体" w:cs="Trebuchet MS"/>
          <w:color w:val="auto"/>
          <w:sz w:val="22"/>
          <w:highlight w:val="none"/>
          <w:lang w:val="zh-CN"/>
        </w:rPr>
        <w:t xml:space="preserve">联系人：</w:t>
      </w:r>
      <w:r>
        <w:rPr>
          <w:rFonts w:hint="eastAsia" w:ascii="宋体" w:hAnsi="宋体" w:cs="Trebuchet MS"/>
          <w:color w:val="auto"/>
          <w:sz w:val="22"/>
          <w:highlight w:val="none"/>
        </w:rPr>
        <w:t xml:space="preserve">韩工</w:t>
      </w:r>
      <w:r/>
    </w:p>
    <w:p>
      <w:pPr>
        <w:ind w:firstLine="440"/>
        <w:spacing w:line="520" w:lineRule="exact"/>
        <w:tabs>
          <w:tab w:val="left" w:pos="0" w:leader="none"/>
          <w:tab w:val="left" w:pos="510" w:leader="none"/>
          <w:tab w:val="left" w:pos="1134" w:leader="none"/>
        </w:tabs>
        <w:rPr>
          <w:rFonts w:hint="eastAsia" w:ascii="宋体" w:hAnsi="宋体" w:cs="Trebuchet MS"/>
          <w:color w:val="auto"/>
          <w:sz w:val="22"/>
          <w:highlight w:val="none"/>
          <w:lang w:val="zh-CN"/>
        </w:rPr>
      </w:pPr>
      <w:r>
        <w:rPr>
          <w:rFonts w:hint="eastAsia" w:ascii="宋体" w:hAnsi="宋体" w:cs="Trebuchet MS"/>
          <w:color w:val="auto"/>
          <w:sz w:val="22"/>
          <w:highlight w:val="none"/>
          <w:lang w:val="zh-CN"/>
        </w:rPr>
        <w:t xml:space="preserve">联系电话：</w:t>
      </w:r>
      <w:r>
        <w:rPr>
          <w:rFonts w:hint="eastAsia" w:ascii="宋体" w:hAnsi="宋体" w:cs="宋体"/>
          <w:bCs/>
          <w:color w:val="auto"/>
          <w:sz w:val="22"/>
          <w:highlight w:val="none"/>
        </w:rPr>
        <w:t xml:space="preserve">025-52106771</w:t>
      </w:r>
      <w:r/>
    </w:p>
    <w:p>
      <w:pPr>
        <w:ind w:firstLine="440"/>
        <w:spacing w:line="520" w:lineRule="exact"/>
        <w:tabs>
          <w:tab w:val="left" w:pos="0" w:leader="none"/>
          <w:tab w:val="left" w:pos="510" w:leader="none"/>
          <w:tab w:val="left" w:pos="1134" w:leader="none"/>
        </w:tabs>
        <w:rPr>
          <w:rFonts w:hint="eastAsia" w:ascii="宋体" w:hAnsi="宋体" w:cs="Trebuchet MS"/>
          <w:color w:val="auto"/>
          <w:sz w:val="22"/>
          <w:highlight w:val="none"/>
        </w:rPr>
      </w:pPr>
      <w:r>
        <w:rPr>
          <w:rFonts w:ascii="宋体" w:hAnsi="宋体" w:cs="Trebuchet MS"/>
          <w:color w:val="auto"/>
          <w:sz w:val="22"/>
          <w:highlight w:val="none"/>
        </w:rPr>
        <w:t xml:space="preserve">2</w:t>
      </w:r>
      <w:r>
        <w:rPr>
          <w:rFonts w:hint="eastAsia" w:ascii="宋体" w:hAnsi="宋体" w:cs="Trebuchet MS"/>
          <w:color w:val="auto"/>
          <w:sz w:val="22"/>
          <w:highlight w:val="none"/>
        </w:rPr>
        <w:t xml:space="preserve">.采购代理机构信息</w:t>
      </w:r>
      <w:r/>
    </w:p>
    <w:p>
      <w:pPr>
        <w:ind w:firstLine="440"/>
        <w:spacing w:line="520" w:lineRule="exact"/>
        <w:tabs>
          <w:tab w:val="left" w:pos="0" w:leader="none"/>
          <w:tab w:val="left" w:pos="510" w:leader="none"/>
          <w:tab w:val="left" w:pos="1134" w:leader="none"/>
        </w:tabs>
        <w:rPr>
          <w:rFonts w:hint="eastAsia" w:ascii="宋体" w:hAnsi="宋体" w:cs="Trebuchet MS"/>
          <w:color w:val="auto"/>
          <w:sz w:val="22"/>
          <w:highlight w:val="none"/>
        </w:rPr>
      </w:pPr>
      <w:r>
        <w:rPr>
          <w:rFonts w:hint="eastAsia" w:ascii="宋体" w:hAnsi="宋体" w:cs="Trebuchet MS"/>
          <w:color w:val="auto"/>
          <w:sz w:val="22"/>
          <w:highlight w:val="none"/>
          <w:lang w:val="zh-CN"/>
        </w:rPr>
        <w:t xml:space="preserve">名称：</w:t>
      </w:r>
      <w:r>
        <w:rPr>
          <w:rFonts w:hint="eastAsia" w:ascii="宋体" w:hAnsi="宋体" w:cs="Trebuchet MS"/>
          <w:color w:val="auto"/>
          <w:sz w:val="22"/>
          <w:highlight w:val="none"/>
        </w:rPr>
        <w:t xml:space="preserve">南京永平建设项目管理有限公司</w:t>
      </w:r>
      <w:r/>
    </w:p>
    <w:p>
      <w:pPr>
        <w:ind w:firstLine="440"/>
        <w:spacing w:line="520" w:lineRule="exact"/>
        <w:tabs>
          <w:tab w:val="left" w:pos="0" w:leader="none"/>
          <w:tab w:val="left" w:pos="510" w:leader="none"/>
          <w:tab w:val="left" w:pos="1134" w:leader="none"/>
        </w:tabs>
        <w:rPr>
          <w:rFonts w:hint="eastAsia" w:ascii="宋体" w:hAnsi="宋体" w:cs="Trebuchet MS"/>
          <w:color w:val="auto"/>
          <w:sz w:val="22"/>
          <w:highlight w:val="none"/>
        </w:rPr>
      </w:pPr>
      <w:r>
        <w:rPr>
          <w:rFonts w:hint="eastAsia" w:ascii="宋体" w:hAnsi="宋体" w:cs="Trebuchet MS"/>
          <w:color w:val="auto"/>
          <w:sz w:val="22"/>
          <w:highlight w:val="none"/>
          <w:lang w:val="zh-CN"/>
        </w:rPr>
        <w:t xml:space="preserve">地址：</w:t>
      </w:r>
      <w:r>
        <w:rPr>
          <w:rFonts w:hint="eastAsia" w:ascii="宋体" w:hAnsi="宋体" w:cs="Trebuchet MS"/>
          <w:color w:val="auto"/>
          <w:sz w:val="22"/>
          <w:highlight w:val="none"/>
        </w:rPr>
        <w:t xml:space="preserve">南京市江宁区万泰路39号宸泰科技大厦B栋7层</w:t>
      </w:r>
      <w:r/>
    </w:p>
    <w:p>
      <w:pPr>
        <w:ind w:firstLine="440"/>
        <w:spacing w:line="520" w:lineRule="exact"/>
        <w:tabs>
          <w:tab w:val="left" w:pos="0" w:leader="none"/>
          <w:tab w:val="left" w:pos="510" w:leader="none"/>
          <w:tab w:val="left" w:pos="1134" w:leader="none"/>
        </w:tabs>
        <w:rPr>
          <w:rFonts w:hint="eastAsia" w:ascii="宋体" w:hAnsi="宋体" w:cs="Trebuchet MS"/>
          <w:color w:val="auto"/>
          <w:sz w:val="22"/>
          <w:highlight w:val="none"/>
          <w:lang w:val="zh-CN"/>
        </w:rPr>
      </w:pPr>
      <w:r>
        <w:rPr>
          <w:rFonts w:hint="eastAsia" w:ascii="宋体" w:hAnsi="宋体" w:cs="Trebuchet MS"/>
          <w:color w:val="auto"/>
          <w:sz w:val="22"/>
          <w:highlight w:val="none"/>
          <w:lang w:val="zh-CN"/>
        </w:rPr>
        <w:t xml:space="preserve">联系人：</w:t>
      </w:r>
      <w:r>
        <w:rPr>
          <w:rFonts w:hint="eastAsia" w:ascii="宋体" w:hAnsi="宋体" w:cs="Trebuchet MS"/>
          <w:color w:val="auto"/>
          <w:sz w:val="22"/>
          <w:highlight w:val="none"/>
        </w:rPr>
        <w:t xml:space="preserve">冯</w:t>
      </w:r>
      <w:r>
        <w:rPr>
          <w:rFonts w:hint="eastAsia" w:ascii="宋体" w:hAnsi="宋体" w:cs="Trebuchet MS"/>
          <w:color w:val="auto"/>
          <w:sz w:val="22"/>
          <w:highlight w:val="none"/>
          <w:lang w:val="zh-CN"/>
        </w:rPr>
        <w:t xml:space="preserve">工 </w:t>
      </w:r>
      <w:r/>
    </w:p>
    <w:p>
      <w:pPr>
        <w:ind w:firstLine="440"/>
        <w:spacing w:line="520" w:lineRule="exact"/>
        <w:tabs>
          <w:tab w:val="left" w:pos="0" w:leader="none"/>
          <w:tab w:val="left" w:pos="510" w:leader="none"/>
          <w:tab w:val="left" w:pos="1134" w:leader="none"/>
        </w:tabs>
        <w:rPr>
          <w:rFonts w:hint="eastAsia" w:ascii="宋体" w:hAnsi="宋体" w:cs="Trebuchet MS"/>
          <w:color w:val="auto"/>
          <w:sz w:val="22"/>
          <w:highlight w:val="none"/>
          <w:lang w:val="zh-CN"/>
        </w:rPr>
      </w:pPr>
      <w:r>
        <w:rPr>
          <w:rFonts w:hint="eastAsia" w:ascii="宋体" w:hAnsi="宋体" w:cs="Trebuchet MS"/>
          <w:color w:val="auto"/>
          <w:sz w:val="22"/>
          <w:highlight w:val="none"/>
          <w:lang w:val="zh-CN"/>
        </w:rPr>
        <w:t xml:space="preserve">联系电话：025-52166105转8029</w:t>
      </w:r>
      <w:r/>
    </w:p>
    <w:p>
      <w:pPr>
        <w:ind w:firstLine="440"/>
        <w:spacing w:line="520" w:lineRule="exact"/>
        <w:tabs>
          <w:tab w:val="left" w:pos="0" w:leader="none"/>
          <w:tab w:val="left" w:pos="510" w:leader="none"/>
          <w:tab w:val="left" w:pos="1134" w:leader="none"/>
        </w:tabs>
        <w:rPr>
          <w:rFonts w:hint="eastAsia" w:ascii="宋体" w:hAnsi="宋体" w:cs="Trebuchet MS"/>
          <w:color w:val="auto"/>
          <w:sz w:val="22"/>
          <w:highlight w:val="none"/>
          <w:lang w:val="zh-CN"/>
        </w:rPr>
      </w:pPr>
      <w:r>
        <w:rPr>
          <w:rFonts w:hint="eastAsia" w:ascii="宋体" w:hAnsi="宋体" w:cs="Trebuchet MS"/>
          <w:color w:val="auto"/>
          <w:sz w:val="22"/>
          <w:highlight w:val="none"/>
          <w:lang w:val="zh-CN"/>
        </w:rPr>
        <w:t xml:space="preserve">3.项目联系方式</w:t>
      </w:r>
      <w:r/>
    </w:p>
    <w:p>
      <w:pPr>
        <w:ind w:firstLine="440"/>
        <w:spacing w:line="520" w:lineRule="exact"/>
        <w:tabs>
          <w:tab w:val="left" w:pos="0" w:leader="none"/>
          <w:tab w:val="left" w:pos="510" w:leader="none"/>
          <w:tab w:val="left" w:pos="1134" w:leader="none"/>
        </w:tabs>
        <w:rPr>
          <w:rFonts w:hint="eastAsia" w:ascii="宋体" w:hAnsi="宋体" w:cs="Trebuchet MS"/>
          <w:color w:val="auto"/>
          <w:sz w:val="22"/>
          <w:highlight w:val="none"/>
          <w:lang w:val="zh-CN"/>
        </w:rPr>
      </w:pPr>
      <w:r>
        <w:rPr>
          <w:rFonts w:hint="eastAsia" w:ascii="宋体" w:hAnsi="宋体" w:cs="Trebuchet MS"/>
          <w:color w:val="auto"/>
          <w:sz w:val="22"/>
          <w:highlight w:val="none"/>
          <w:lang w:val="zh-CN"/>
        </w:rPr>
        <w:t xml:space="preserve">联系人：</w:t>
      </w:r>
      <w:r>
        <w:rPr>
          <w:rFonts w:hint="eastAsia" w:ascii="宋体" w:hAnsi="宋体" w:cs="Trebuchet MS"/>
          <w:color w:val="auto"/>
          <w:sz w:val="22"/>
          <w:highlight w:val="none"/>
        </w:rPr>
        <w:t xml:space="preserve">冯</w:t>
      </w:r>
      <w:r>
        <w:rPr>
          <w:rFonts w:hint="eastAsia" w:ascii="宋体" w:hAnsi="宋体" w:cs="Trebuchet MS"/>
          <w:color w:val="auto"/>
          <w:sz w:val="22"/>
          <w:highlight w:val="none"/>
          <w:lang w:val="zh-CN"/>
        </w:rPr>
        <w:t xml:space="preserve">工  </w:t>
      </w:r>
      <w:r/>
    </w:p>
    <w:p>
      <w:pPr>
        <w:pStyle w:val="838"/>
        <w:ind w:firstLine="420"/>
        <w:spacing w:line="360" w:lineRule="auto"/>
        <w:rPr>
          <w:rFonts w:hint="eastAsia" w:ascii="宋体" w:hAnsi="宋体" w:eastAsia="宋体" w:cs="Trebuchet MS"/>
          <w:color w:val="auto"/>
          <w:sz w:val="22"/>
          <w:highlight w:val="none"/>
          <w:lang w:val="zh-CN"/>
        </w:rPr>
      </w:pPr>
      <w:r>
        <w:rPr>
          <w:rFonts w:hint="eastAsia" w:ascii="宋体" w:hAnsi="宋体" w:eastAsia="宋体" w:cs="Trebuchet MS"/>
          <w:color w:val="auto"/>
          <w:sz w:val="22"/>
          <w:highlight w:val="none"/>
          <w:lang w:val="zh-CN"/>
        </w:rPr>
        <w:t xml:space="preserve">联系电话：025-52166105转8029</w:t>
      </w:r>
      <w:r/>
    </w:p>
    <w:p>
      <w:pPr>
        <w:pStyle w:val="1030"/>
        <w:spacing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06"/>
        <w:rPr>
          <w:rFonts w:hint="eastAsia"/>
          <w:color w:val="auto"/>
          <w:lang w:val="zh-CN"/>
        </w:rPr>
      </w:pPr>
      <w:r/>
      <w:bookmarkStart w:id="11" w:name="_Toc18696"/>
      <w:r/>
      <w:bookmarkStart w:id="12" w:name="_Toc18265"/>
      <w:r/>
      <w:bookmarkStart w:id="13" w:name="_Toc25854"/>
      <w:r/>
      <w:bookmarkStart w:id="14" w:name="_Toc19899"/>
      <w:r>
        <w:rPr>
          <w:rFonts w:hint="eastAsia"/>
          <w:color w:val="auto"/>
          <w:lang w:val="zh-CN"/>
        </w:rPr>
        <w:t xml:space="preserve">第二章 供应商须知</w:t>
      </w:r>
      <w:bookmarkEnd w:id="11"/>
      <w:r/>
      <w:bookmarkEnd w:id="12"/>
      <w:r/>
      <w:bookmarkEnd w:id="13"/>
      <w:r/>
      <w:bookmarkEnd w:id="14"/>
      <w:r/>
      <w:r/>
    </w:p>
    <w:p>
      <w:pPr>
        <w:pStyle w:val="807"/>
        <w:jc w:val="center"/>
        <w:rPr>
          <w:color w:val="auto"/>
          <w:lang w:val="zh-CN"/>
        </w:rPr>
      </w:pPr>
      <w:r>
        <w:rPr>
          <w:rFonts w:hint="eastAsia"/>
          <w:color w:val="auto"/>
          <w:lang w:val="zh-CN"/>
        </w:rPr>
        <w:t xml:space="preserve">前附表</w:t>
      </w:r>
      <w:r/>
    </w:p>
    <w:tbl>
      <w:tblPr>
        <w:tblStyle w:val="816"/>
        <w:tblW w:w="925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946"/>
        <w:gridCol w:w="1031"/>
        <w:gridCol w:w="1686"/>
        <w:gridCol w:w="4842"/>
      </w:tblGrid>
      <w:tr>
        <w:trPr>
          <w:jc w:val="center"/>
          <w:trHeight w:val="545"/>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序号</w:t>
            </w:r>
            <w:r/>
          </w:p>
        </w:tc>
        <w:tc>
          <w:tcPr>
            <w:gridSpan w:val="2"/>
            <w:tcBorders>
              <w:top w:val="single" w:color="000000" w:sz="4" w:space="0"/>
              <w:left w:val="single" w:color="000000" w:sz="4" w:space="0"/>
              <w:bottom w:val="single" w:color="000000" w:sz="4" w:space="0"/>
              <w:right w:val="single" w:color="000000" w:sz="4" w:space="0"/>
            </w:tcBorders>
            <w:tcW w:w="1977" w:type="dxa"/>
            <w:vAlign w:val="center"/>
            <w:textDirection w:val="lrTb"/>
            <w:noWrap w:val="false"/>
          </w:tcPr>
          <w:p>
            <w:pPr>
              <w:jc w:val="center"/>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项  目</w:t>
            </w:r>
            <w:r/>
          </w:p>
        </w:tc>
        <w:tc>
          <w:tcPr>
            <w:gridSpan w:val="2"/>
            <w:tcBorders>
              <w:top w:val="single" w:color="000000" w:sz="4" w:space="0"/>
              <w:left w:val="single" w:color="000000" w:sz="4" w:space="0"/>
              <w:bottom w:val="single" w:color="000000" w:sz="4" w:space="0"/>
              <w:right w:val="single" w:color="000000" w:sz="4" w:space="0"/>
            </w:tcBorders>
            <w:tcW w:w="6528" w:type="dxa"/>
            <w:vAlign w:val="center"/>
            <w:textDirection w:val="lrTb"/>
            <w:noWrap w:val="false"/>
          </w:tcPr>
          <w:p>
            <w:pPr>
              <w:jc w:val="center"/>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内        容</w:t>
            </w:r>
            <w:r/>
          </w:p>
        </w:tc>
      </w:tr>
      <w:tr>
        <w:trPr>
          <w:jc w:val="center"/>
          <w:trHeight w:val="624"/>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1</w:t>
            </w:r>
            <w:r/>
          </w:p>
        </w:tc>
        <w:tc>
          <w:tcPr>
            <w:gridSpan w:val="2"/>
            <w:tcBorders>
              <w:top w:val="single" w:color="000000" w:sz="4" w:space="0"/>
              <w:left w:val="single" w:color="000000" w:sz="4" w:space="0"/>
              <w:bottom w:val="single" w:color="000000" w:sz="4" w:space="0"/>
              <w:right w:val="single" w:color="000000" w:sz="4" w:space="0"/>
            </w:tcBorders>
            <w:tcW w:w="1977"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项目编号</w:t>
            </w:r>
            <w:r/>
          </w:p>
        </w:tc>
        <w:tc>
          <w:tcPr>
            <w:gridSpan w:val="2"/>
            <w:tcBorders>
              <w:top w:val="single" w:color="000000" w:sz="4" w:space="0"/>
              <w:left w:val="single" w:color="000000" w:sz="4" w:space="0"/>
              <w:bottom w:val="single" w:color="000000" w:sz="4" w:space="0"/>
              <w:right w:val="single" w:color="000000" w:sz="4" w:space="0"/>
            </w:tcBorders>
            <w:tcW w:w="6528" w:type="dxa"/>
            <w:vAlign w:val="center"/>
            <w:textDirection w:val="lrTb"/>
            <w:noWrap w:val="false"/>
          </w:tcPr>
          <w:p>
            <w:pPr>
              <w:spacing w:line="360" w:lineRule="auto"/>
              <w:rPr>
                <w:rFonts w:hint="eastAsia" w:ascii="宋体" w:hAnsi="宋体"/>
                <w:color w:val="auto"/>
                <w:szCs w:val="21"/>
                <w:highlight w:val="none"/>
              </w:rPr>
            </w:pPr>
            <w:r>
              <w:rPr>
                <w:rFonts w:hint="eastAsia" w:ascii="宋体" w:hAnsi="宋体"/>
                <w:color w:val="auto"/>
                <w:szCs w:val="21"/>
                <w:highlight w:val="none"/>
                <w:lang w:val="zh-CN"/>
              </w:rPr>
              <w:t xml:space="preserve">JSZC-320115-NJYP-G2025-0028</w:t>
            </w:r>
            <w:r/>
          </w:p>
        </w:tc>
      </w:tr>
      <w:tr>
        <w:trPr>
          <w:jc w:val="center"/>
          <w:trHeight w:val="624"/>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2</w:t>
            </w:r>
            <w:r/>
          </w:p>
        </w:tc>
        <w:tc>
          <w:tcPr>
            <w:gridSpan w:val="2"/>
            <w:tcBorders>
              <w:top w:val="single" w:color="000000" w:sz="4" w:space="0"/>
              <w:left w:val="single" w:color="000000" w:sz="4" w:space="0"/>
              <w:bottom w:val="single" w:color="000000" w:sz="4" w:space="0"/>
              <w:right w:val="single" w:color="000000" w:sz="4" w:space="0"/>
            </w:tcBorders>
            <w:tcW w:w="1977"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项目名称</w:t>
            </w:r>
            <w:r/>
          </w:p>
        </w:tc>
        <w:tc>
          <w:tcPr>
            <w:gridSpan w:val="2"/>
            <w:tcBorders>
              <w:top w:val="single" w:color="000000" w:sz="4" w:space="0"/>
              <w:left w:val="single" w:color="000000" w:sz="4" w:space="0"/>
              <w:bottom w:val="single" w:color="000000" w:sz="4" w:space="0"/>
              <w:right w:val="single" w:color="000000" w:sz="4" w:space="0"/>
            </w:tcBorders>
            <w:tcW w:w="6528" w:type="dxa"/>
            <w:vAlign w:val="center"/>
            <w:textDirection w:val="lrTb"/>
            <w:noWrap w:val="false"/>
          </w:tcPr>
          <w:p>
            <w:pPr>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 xml:space="preserve">2026年S122汤山段辅道日常养护服务</w:t>
            </w:r>
            <w:r/>
          </w:p>
        </w:tc>
      </w:tr>
      <w:tr>
        <w:trPr>
          <w:jc w:val="center"/>
          <w:trHeight w:val="624"/>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3</w:t>
            </w:r>
            <w:r/>
          </w:p>
        </w:tc>
        <w:tc>
          <w:tcPr>
            <w:gridSpan w:val="2"/>
            <w:tcBorders>
              <w:top w:val="single" w:color="000000" w:sz="4" w:space="0"/>
              <w:left w:val="single" w:color="000000" w:sz="4" w:space="0"/>
              <w:bottom w:val="single" w:color="000000" w:sz="4" w:space="0"/>
              <w:right w:val="single" w:color="000000" w:sz="4" w:space="0"/>
            </w:tcBorders>
            <w:tcW w:w="1977"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采购代理机构</w:t>
            </w:r>
            <w:r/>
          </w:p>
        </w:tc>
        <w:tc>
          <w:tcPr>
            <w:gridSpan w:val="2"/>
            <w:tcBorders>
              <w:top w:val="single" w:color="000000" w:sz="4" w:space="0"/>
              <w:left w:val="single" w:color="000000" w:sz="4" w:space="0"/>
              <w:bottom w:val="single" w:color="000000" w:sz="4" w:space="0"/>
              <w:right w:val="single" w:color="000000" w:sz="4" w:space="0"/>
            </w:tcBorders>
            <w:tcW w:w="6528" w:type="dxa"/>
            <w:vAlign w:val="center"/>
            <w:textDirection w:val="lrTb"/>
            <w:noWrap w:val="false"/>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南京永平建设项目管理有限公司</w:t>
            </w:r>
            <w:r/>
          </w:p>
        </w:tc>
      </w:tr>
      <w:tr>
        <w:trPr>
          <w:jc w:val="center"/>
          <w:trHeight w:val="624"/>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4</w:t>
            </w:r>
            <w:r/>
          </w:p>
        </w:tc>
        <w:tc>
          <w:tcPr>
            <w:gridSpan w:val="2"/>
            <w:tcBorders>
              <w:top w:val="single" w:color="000000" w:sz="4" w:space="0"/>
              <w:left w:val="single" w:color="000000" w:sz="4" w:space="0"/>
              <w:bottom w:val="single" w:color="000000" w:sz="4" w:space="0"/>
              <w:right w:val="single" w:color="000000" w:sz="4" w:space="0"/>
            </w:tcBorders>
            <w:tcW w:w="1977"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采购代理机构地址</w:t>
            </w:r>
            <w:r/>
          </w:p>
        </w:tc>
        <w:tc>
          <w:tcPr>
            <w:gridSpan w:val="2"/>
            <w:tcBorders>
              <w:top w:val="single" w:color="000000" w:sz="4" w:space="0"/>
              <w:left w:val="single" w:color="000000" w:sz="4" w:space="0"/>
              <w:bottom w:val="single" w:color="000000" w:sz="4" w:space="0"/>
              <w:right w:val="single" w:color="000000" w:sz="4" w:space="0"/>
            </w:tcBorders>
            <w:tcW w:w="6528" w:type="dxa"/>
            <w:vAlign w:val="center"/>
            <w:textDirection w:val="lrTb"/>
            <w:noWrap w:val="false"/>
          </w:tcPr>
          <w:p>
            <w:pPr>
              <w:spacing w:line="360" w:lineRule="auto"/>
              <w:rPr>
                <w:rFonts w:hint="eastAsia" w:ascii="宋体" w:hAnsi="宋体"/>
                <w:color w:val="auto"/>
                <w:szCs w:val="21"/>
                <w:highlight w:val="none"/>
              </w:rPr>
            </w:pPr>
            <w:r>
              <w:rPr>
                <w:rFonts w:hint="eastAsia" w:ascii="宋体" w:hAnsi="宋体" w:cs="宋体"/>
                <w:color w:val="auto"/>
                <w:szCs w:val="21"/>
                <w:highlight w:val="none"/>
              </w:rPr>
              <w:t xml:space="preserve">南京市江宁区万泰路39号宸泰科技大厦泰楼（杭州银行旁）七层</w:t>
            </w:r>
            <w:r/>
          </w:p>
        </w:tc>
      </w:tr>
      <w:tr>
        <w:trPr>
          <w:jc w:val="center"/>
          <w:trHeight w:val="624"/>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5</w:t>
            </w:r>
            <w:r/>
          </w:p>
        </w:tc>
        <w:tc>
          <w:tcPr>
            <w:gridSpan w:val="2"/>
            <w:tcBorders>
              <w:top w:val="single" w:color="000000" w:sz="4" w:space="0"/>
              <w:left w:val="single" w:color="000000" w:sz="4" w:space="0"/>
              <w:bottom w:val="single" w:color="000000" w:sz="4" w:space="0"/>
              <w:right w:val="single" w:color="000000" w:sz="4" w:space="0"/>
            </w:tcBorders>
            <w:tcW w:w="1977"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采购文件获取方法</w:t>
            </w:r>
            <w:r/>
          </w:p>
        </w:tc>
        <w:tc>
          <w:tcPr>
            <w:gridSpan w:val="2"/>
            <w:tcBorders>
              <w:top w:val="single" w:color="000000" w:sz="4" w:space="0"/>
              <w:left w:val="single" w:color="000000" w:sz="4" w:space="0"/>
              <w:bottom w:val="single" w:color="000000" w:sz="4" w:space="0"/>
              <w:right w:val="single" w:color="000000" w:sz="4" w:space="0"/>
            </w:tcBorders>
            <w:tcW w:w="6528" w:type="dxa"/>
            <w:vAlign w:val="center"/>
            <w:textDirection w:val="lrTb"/>
            <w:noWrap w:val="false"/>
          </w:tcPr>
          <w:p>
            <w:pPr>
              <w:spacing w:line="360" w:lineRule="auto"/>
              <w:rPr>
                <w:rFonts w:hint="eastAsia" w:ascii="宋体" w:hAnsi="宋体"/>
                <w:color w:val="auto"/>
                <w:szCs w:val="21"/>
                <w:highlight w:val="none"/>
              </w:rPr>
            </w:pPr>
            <w:r>
              <w:rPr>
                <w:rFonts w:hint="eastAsia" w:ascii="宋体" w:hAnsi="宋体" w:cs="Trebuchet MS"/>
                <w:color w:val="auto"/>
                <w:szCs w:val="21"/>
                <w:highlight w:val="none"/>
              </w:rPr>
              <w:t xml:space="preserve">在“江苏政府采购网”免费下载。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tc>
      </w:tr>
      <w:tr>
        <w:trPr>
          <w:jc w:val="center"/>
          <w:trHeight w:val="624"/>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6</w:t>
            </w:r>
            <w:r/>
          </w:p>
        </w:tc>
        <w:tc>
          <w:tcPr>
            <w:gridSpan w:val="2"/>
            <w:tcBorders>
              <w:top w:val="single" w:color="000000" w:sz="4" w:space="0"/>
              <w:left w:val="single" w:color="000000" w:sz="4" w:space="0"/>
              <w:bottom w:val="single" w:color="000000" w:sz="4" w:space="0"/>
              <w:right w:val="single" w:color="000000" w:sz="4" w:space="0"/>
            </w:tcBorders>
            <w:tcW w:w="1977"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s="Trebuchet MS"/>
                <w:color w:val="auto"/>
                <w:szCs w:val="21"/>
                <w:highlight w:val="none"/>
              </w:rPr>
              <w:t xml:space="preserve">最高限价</w:t>
            </w:r>
            <w:r/>
          </w:p>
        </w:tc>
        <w:tc>
          <w:tcPr>
            <w:gridSpan w:val="2"/>
            <w:tcBorders>
              <w:top w:val="single" w:color="000000" w:sz="4" w:space="0"/>
              <w:left w:val="single" w:color="000000" w:sz="4" w:space="0"/>
              <w:bottom w:val="single" w:color="000000" w:sz="4" w:space="0"/>
              <w:right w:val="single" w:color="000000" w:sz="4" w:space="0"/>
            </w:tcBorders>
            <w:tcW w:w="6528" w:type="dxa"/>
            <w:vAlign w:val="center"/>
            <w:textDirection w:val="lrTb"/>
            <w:noWrap w:val="false"/>
          </w:tcPr>
          <w:p>
            <w:pPr>
              <w:pStyle w:val="103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700万元（</w:t>
            </w:r>
            <w:r>
              <w:rPr>
                <w:rFonts w:ascii="宋体" w:hAnsi="宋体" w:eastAsia="宋体" w:cs="宋体"/>
                <w:color w:val="auto"/>
                <w:sz w:val="21"/>
                <w:szCs w:val="21"/>
                <w:highlight w:val="none"/>
              </w:rPr>
              <w:t xml:space="preserve">供应商的</w:t>
            </w:r>
            <w:r>
              <w:rPr>
                <w:rFonts w:hint="eastAsia" w:ascii="宋体" w:hAnsi="宋体" w:eastAsia="宋体" w:cs="宋体"/>
                <w:color w:val="auto"/>
                <w:sz w:val="21"/>
                <w:szCs w:val="21"/>
                <w:highlight w:val="none"/>
              </w:rPr>
              <w:t xml:space="preserve">投标</w:t>
            </w:r>
            <w:r>
              <w:rPr>
                <w:rFonts w:ascii="宋体" w:hAnsi="宋体" w:eastAsia="宋体" w:cs="宋体"/>
                <w:color w:val="auto"/>
                <w:sz w:val="21"/>
                <w:szCs w:val="21"/>
                <w:highlight w:val="none"/>
              </w:rPr>
              <w:t xml:space="preserve">报价</w:t>
            </w:r>
            <w:r>
              <w:rPr>
                <w:rFonts w:hint="eastAsia" w:ascii="宋体" w:hAnsi="宋体" w:eastAsia="宋体" w:cs="宋体"/>
                <w:color w:val="auto"/>
                <w:sz w:val="21"/>
                <w:szCs w:val="21"/>
                <w:highlight w:val="none"/>
              </w:rPr>
              <w:t xml:space="preserve">超过最高限价的</w:t>
            </w:r>
            <w:r>
              <w:rPr>
                <w:rFonts w:ascii="宋体" w:hAnsi="宋体" w:eastAsia="宋体" w:cs="宋体"/>
                <w:color w:val="auto"/>
                <w:sz w:val="21"/>
                <w:szCs w:val="21"/>
                <w:highlight w:val="none"/>
              </w:rPr>
              <w:t xml:space="preserve">其</w:t>
            </w:r>
            <w:r>
              <w:rPr>
                <w:rFonts w:hint="eastAsia" w:ascii="宋体" w:hAnsi="宋体" w:eastAsia="宋体" w:cs="宋体"/>
                <w:color w:val="auto"/>
                <w:sz w:val="21"/>
                <w:szCs w:val="21"/>
                <w:highlight w:val="none"/>
              </w:rPr>
              <w:t xml:space="preserve">投标</w:t>
            </w:r>
            <w:r>
              <w:rPr>
                <w:rFonts w:ascii="宋体" w:hAnsi="宋体" w:eastAsia="宋体" w:cs="宋体"/>
                <w:color w:val="auto"/>
                <w:sz w:val="21"/>
                <w:szCs w:val="21"/>
                <w:highlight w:val="none"/>
              </w:rPr>
              <w:t xml:space="preserve">文件</w:t>
            </w:r>
            <w:r>
              <w:rPr>
                <w:rFonts w:hint="eastAsia" w:ascii="宋体" w:hAnsi="宋体" w:eastAsia="宋体" w:cs="宋体"/>
                <w:color w:val="auto"/>
                <w:sz w:val="21"/>
                <w:szCs w:val="21"/>
                <w:highlight w:val="none"/>
              </w:rPr>
              <w:t xml:space="preserve">将被作为无效标处理）</w:t>
            </w:r>
            <w:r/>
          </w:p>
        </w:tc>
      </w:tr>
      <w:tr>
        <w:trPr>
          <w:jc w:val="center"/>
          <w:trHeight w:val="624"/>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7</w:t>
            </w:r>
            <w:r/>
          </w:p>
        </w:tc>
        <w:tc>
          <w:tcPr>
            <w:gridSpan w:val="2"/>
            <w:tcBorders>
              <w:top w:val="single" w:color="000000" w:sz="4" w:space="0"/>
              <w:left w:val="single" w:color="000000" w:sz="4" w:space="0"/>
              <w:bottom w:val="single" w:color="000000" w:sz="4" w:space="0"/>
              <w:right w:val="single" w:color="000000" w:sz="4" w:space="0"/>
            </w:tcBorders>
            <w:tcW w:w="1977" w:type="dxa"/>
            <w:vAlign w:val="center"/>
            <w:textDirection w:val="lrTb"/>
            <w:noWrap w:val="false"/>
          </w:tcPr>
          <w:p>
            <w:pPr>
              <w:jc w:val="center"/>
              <w:spacing w:line="360" w:lineRule="auto"/>
              <w:rPr>
                <w:rFonts w:hint="eastAsia" w:ascii="宋体" w:hAnsi="宋体"/>
                <w:color w:val="auto"/>
                <w:szCs w:val="21"/>
                <w:highlight w:val="none"/>
              </w:rPr>
            </w:pPr>
            <w:r>
              <w:rPr>
                <w:rFonts w:ascii="宋体" w:hAnsi="宋体"/>
                <w:color w:val="auto"/>
                <w:szCs w:val="21"/>
                <w:highlight w:val="none"/>
              </w:rPr>
              <w:t xml:space="preserve">踏勘</w:t>
            </w:r>
            <w:r>
              <w:rPr>
                <w:rFonts w:hint="eastAsia" w:ascii="宋体" w:hAnsi="宋体"/>
                <w:color w:val="auto"/>
                <w:szCs w:val="21"/>
                <w:highlight w:val="none"/>
              </w:rPr>
              <w:t xml:space="preserve">现场</w:t>
            </w:r>
            <w:r/>
          </w:p>
        </w:tc>
        <w:tc>
          <w:tcPr>
            <w:gridSpan w:val="2"/>
            <w:tcBorders>
              <w:top w:val="single" w:color="000000" w:sz="4" w:space="0"/>
              <w:left w:val="single" w:color="000000" w:sz="4" w:space="0"/>
              <w:bottom w:val="single" w:color="000000" w:sz="4" w:space="0"/>
              <w:right w:val="single" w:color="000000" w:sz="4" w:space="0"/>
            </w:tcBorders>
            <w:tcW w:w="6528" w:type="dxa"/>
            <w:vAlign w:val="center"/>
            <w:textDirection w:val="lrTb"/>
            <w:noWrap w:val="false"/>
          </w:tcPr>
          <w:p>
            <w:pPr>
              <w:spacing w:line="360" w:lineRule="auto"/>
              <w:rPr>
                <w:rFonts w:hint="eastAsia" w:ascii="宋体" w:hAnsi="宋体"/>
                <w:color w:val="auto"/>
                <w:szCs w:val="21"/>
                <w:highlight w:val="none"/>
                <w:lang w:val="zh-CN"/>
              </w:rPr>
            </w:pPr>
            <w:r>
              <w:rPr>
                <w:rFonts w:hint="eastAsia" w:ascii="宋体" w:hAnsi="宋体" w:cs="宋体"/>
                <w:color w:val="auto"/>
                <w:szCs w:val="21"/>
                <w:highlight w:val="none"/>
              </w:rPr>
              <w:t xml:space="preserve">采购人</w:t>
            </w:r>
            <w:r>
              <w:rPr>
                <w:rFonts w:hint="eastAsia" w:ascii="宋体" w:hAnsi="宋体"/>
                <w:color w:val="auto"/>
                <w:szCs w:val="21"/>
                <w:highlight w:val="none"/>
                <w:lang w:val="zh-CN"/>
              </w:rPr>
              <w:t xml:space="preserve">不组织现场踏勘，供应商如需踏勘现场可自行前往。</w:t>
            </w:r>
            <w:r/>
          </w:p>
        </w:tc>
      </w:tr>
      <w:tr>
        <w:trPr>
          <w:jc w:val="center"/>
          <w:trHeight w:val="624"/>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8</w:t>
            </w:r>
            <w:r/>
          </w:p>
        </w:tc>
        <w:tc>
          <w:tcPr>
            <w:gridSpan w:val="2"/>
            <w:tcBorders>
              <w:top w:val="single" w:color="000000" w:sz="4" w:space="0"/>
              <w:left w:val="single" w:color="000000" w:sz="4" w:space="0"/>
              <w:bottom w:val="single" w:color="000000" w:sz="4" w:space="0"/>
              <w:right w:val="single" w:color="000000" w:sz="4" w:space="0"/>
            </w:tcBorders>
            <w:tcW w:w="1977" w:type="dxa"/>
            <w:vAlign w:val="center"/>
            <w:textDirection w:val="lrTb"/>
            <w:noWrap w:val="false"/>
          </w:tcPr>
          <w:p>
            <w:pPr>
              <w:jc w:val="center"/>
              <w:spacing w:line="360" w:lineRule="auto"/>
              <w:rPr>
                <w:rFonts w:hint="eastAsia" w:ascii="宋体" w:hAnsi="宋体"/>
                <w:color w:val="auto"/>
                <w:szCs w:val="21"/>
                <w:highlight w:val="none"/>
                <w:lang w:val="zh-CN"/>
              </w:rPr>
            </w:pPr>
            <w:r>
              <w:rPr>
                <w:rFonts w:hint="eastAsia" w:ascii="宋体" w:hAnsi="宋体"/>
                <w:color w:val="auto"/>
                <w:szCs w:val="21"/>
                <w:highlight w:val="none"/>
                <w:lang w:val="zh-CN"/>
              </w:rPr>
              <w:t xml:space="preserve">投标有效期</w:t>
            </w:r>
            <w:r/>
          </w:p>
        </w:tc>
        <w:tc>
          <w:tcPr>
            <w:gridSpan w:val="2"/>
            <w:tcBorders>
              <w:top w:val="single" w:color="000000" w:sz="4" w:space="0"/>
              <w:left w:val="single" w:color="000000" w:sz="4" w:space="0"/>
              <w:bottom w:val="single" w:color="000000" w:sz="4" w:space="0"/>
              <w:right w:val="single" w:color="000000" w:sz="4" w:space="0"/>
            </w:tcBorders>
            <w:tcW w:w="6528" w:type="dxa"/>
            <w:vAlign w:val="center"/>
            <w:textDirection w:val="lrTb"/>
            <w:noWrap w:val="false"/>
          </w:tcPr>
          <w:p>
            <w:pPr>
              <w:spacing w:line="360" w:lineRule="auto"/>
              <w:rPr>
                <w:rFonts w:hint="eastAsia" w:ascii="宋体" w:hAnsi="宋体"/>
                <w:color w:val="auto"/>
                <w:szCs w:val="21"/>
                <w:highlight w:val="none"/>
                <w:lang w:val="zh-CN"/>
              </w:rPr>
            </w:pPr>
            <w:r>
              <w:rPr>
                <w:rFonts w:hint="eastAsia" w:ascii="宋体" w:hAnsi="宋体"/>
                <w:color w:val="auto"/>
                <w:szCs w:val="21"/>
                <w:highlight w:val="none"/>
                <w:lang w:val="zh-CN"/>
              </w:rPr>
              <w:t xml:space="preserve">投标</w:t>
            </w:r>
            <w:r>
              <w:rPr>
                <w:rFonts w:hint="eastAsia" w:ascii="宋体" w:hAnsi="宋体"/>
                <w:color w:val="auto"/>
                <w:szCs w:val="21"/>
                <w:highlight w:val="none"/>
              </w:rPr>
              <w:t xml:space="preserve">截止日起</w:t>
            </w:r>
            <w:r>
              <w:rPr>
                <w:rFonts w:hint="eastAsia" w:ascii="宋体" w:hAnsi="宋体"/>
                <w:color w:val="auto"/>
                <w:szCs w:val="21"/>
                <w:highlight w:val="none"/>
                <w:lang w:val="zh-CN"/>
              </w:rPr>
              <w:t xml:space="preserve">九十（90）天</w:t>
            </w:r>
            <w:r/>
          </w:p>
        </w:tc>
      </w:tr>
      <w:tr>
        <w:trPr>
          <w:cantSplit/>
          <w:jc w:val="center"/>
          <w:trHeight w:val="624"/>
        </w:trPr>
        <w:tc>
          <w:tcPr>
            <w:tcBorders>
              <w:top w:val="single" w:color="000000" w:sz="4" w:space="0"/>
              <w:left w:val="single" w:color="000000" w:sz="4" w:space="0"/>
              <w:right w:val="single" w:color="000000" w:sz="4" w:space="0"/>
            </w:tcBorders>
            <w:tcW w:w="750" w:type="dxa"/>
            <w:vAlign w:val="center"/>
            <w:vMerge w:val="restart"/>
            <w:textDirection w:val="lrTb"/>
            <w:noWrap w:val="false"/>
          </w:tcPr>
          <w:p>
            <w:pPr>
              <w:jc w:val="center"/>
              <w:spacing w:line="360" w:lineRule="auto"/>
              <w:widowControl/>
              <w:rPr>
                <w:rFonts w:hint="eastAsia" w:ascii="宋体" w:hAnsi="宋体"/>
                <w:strike/>
                <w:color w:val="auto"/>
                <w:szCs w:val="21"/>
                <w:highlight w:val="none"/>
              </w:rPr>
            </w:pPr>
            <w:r>
              <w:rPr>
                <w:rFonts w:hint="eastAsia" w:ascii="宋体" w:hAnsi="宋体"/>
                <w:color w:val="auto"/>
                <w:szCs w:val="21"/>
                <w:highlight w:val="none"/>
              </w:rPr>
              <w:t xml:space="preserve">9</w:t>
            </w:r>
            <w:r/>
          </w:p>
        </w:tc>
        <w:tc>
          <w:tcPr>
            <w:tcBorders>
              <w:top w:val="single" w:color="000000" w:sz="4" w:space="0"/>
              <w:left w:val="single" w:color="000000" w:sz="4" w:space="0"/>
              <w:right w:val="single" w:color="000000" w:sz="4" w:space="0"/>
            </w:tcBorders>
            <w:tcW w:w="946" w:type="dxa"/>
            <w:vAlign w:val="center"/>
            <w:vMerge w:val="restart"/>
            <w:textDirection w:val="lrTb"/>
            <w:noWrap w:val="false"/>
          </w:tcPr>
          <w:p>
            <w:pPr>
              <w:jc w:val="center"/>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投标文件提交信  息</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时间</w:t>
            </w:r>
            <w:r/>
          </w:p>
        </w:tc>
        <w:tc>
          <w:tcPr>
            <w:gridSpan w:val="2"/>
            <w:tcBorders>
              <w:top w:val="single" w:color="000000" w:sz="4" w:space="0"/>
              <w:left w:val="single" w:color="000000" w:sz="4" w:space="0"/>
              <w:bottom w:val="single" w:color="000000" w:sz="4" w:space="0"/>
              <w:right w:val="single" w:color="000000" w:sz="4" w:space="0"/>
            </w:tcBorders>
            <w:tcW w:w="6528" w:type="dxa"/>
            <w:vAlign w:val="center"/>
            <w:textDirection w:val="lrTb"/>
            <w:noWrap w:val="false"/>
          </w:tcPr>
          <w:p>
            <w:pPr>
              <w:spacing w:line="360" w:lineRule="auto"/>
              <w:rPr>
                <w:rFonts w:hint="eastAsia" w:ascii="宋体" w:hAnsi="宋体"/>
                <w:color w:val="auto"/>
                <w:szCs w:val="21"/>
                <w:highlight w:val="none"/>
                <w:lang w:val="zh-CN"/>
              </w:rPr>
            </w:pPr>
            <w:r>
              <w:rPr>
                <w:rFonts w:hint="eastAsia" w:ascii="宋体" w:hAnsi="宋体" w:cs="Trebuchet MS"/>
                <w:color w:val="auto"/>
                <w:szCs w:val="21"/>
                <w:highlight w:val="none"/>
              </w:rPr>
              <w:t xml:space="preserve">2025年12月</w:t>
            </w:r>
            <w:r>
              <w:rPr>
                <w:rFonts w:hint="eastAsia" w:ascii="宋体" w:hAnsi="宋体" w:cs="Trebuchet MS"/>
                <w:color w:val="auto"/>
                <w:szCs w:val="21"/>
                <w:highlight w:val="none"/>
                <w:lang w:val="en-US" w:eastAsia="zh-CN"/>
              </w:rPr>
              <w:t xml:space="preserve">30</w:t>
            </w:r>
            <w:r>
              <w:rPr>
                <w:rFonts w:hint="eastAsia" w:ascii="宋体" w:hAnsi="宋体" w:cs="Trebuchet MS"/>
                <w:color w:val="auto"/>
                <w:szCs w:val="21"/>
                <w:highlight w:val="none"/>
              </w:rPr>
              <w:t xml:space="preserve">日</w:t>
            </w:r>
            <w:r>
              <w:rPr>
                <w:rFonts w:hint="eastAsia" w:ascii="宋体" w:hAnsi="宋体" w:cs="Trebuchet MS"/>
                <w:color w:val="auto"/>
                <w:szCs w:val="21"/>
                <w:highlight w:val="none"/>
                <w:lang w:val="en-US" w:eastAsia="zh-CN"/>
              </w:rPr>
              <w:t xml:space="preserve">9</w:t>
            </w:r>
            <w:r>
              <w:rPr>
                <w:rFonts w:hint="eastAsia" w:ascii="宋体" w:hAnsi="宋体" w:cs="Trebuchet MS"/>
                <w:color w:val="auto"/>
                <w:szCs w:val="21"/>
                <w:highlight w:val="none"/>
              </w:rPr>
              <w:t xml:space="preserve">时</w:t>
            </w:r>
            <w:r>
              <w:rPr>
                <w:rFonts w:hint="eastAsia" w:ascii="宋体" w:hAnsi="宋体" w:cs="Trebuchet MS"/>
                <w:color w:val="auto"/>
                <w:szCs w:val="21"/>
                <w:highlight w:val="none"/>
                <w:lang w:val="en-US" w:eastAsia="zh-CN"/>
              </w:rPr>
              <w:t xml:space="preserve">30</w:t>
            </w:r>
            <w:r>
              <w:rPr>
                <w:rFonts w:hint="eastAsia" w:ascii="宋体" w:hAnsi="宋体" w:cs="Trebuchet MS"/>
                <w:color w:val="auto"/>
                <w:szCs w:val="21"/>
                <w:highlight w:val="none"/>
              </w:rPr>
              <w:t xml:space="preserve">分（北京时间）</w:t>
            </w:r>
            <w:r/>
          </w:p>
        </w:tc>
      </w:tr>
      <w:tr>
        <w:trPr>
          <w:cantSplit/>
          <w:jc w:val="center"/>
          <w:trHeight w:val="624"/>
        </w:trPr>
        <w:tc>
          <w:tcPr>
            <w:tcBorders>
              <w:left w:val="single" w:color="000000" w:sz="4" w:space="0"/>
              <w:bottom w:val="single" w:color="000000" w:sz="4" w:space="0"/>
              <w:right w:val="single" w:color="000000" w:sz="4" w:space="0"/>
            </w:tcBorders>
            <w:tcW w:w="750" w:type="dxa"/>
            <w:vAlign w:val="center"/>
            <w:vMerge w:val="continue"/>
            <w:textDirection w:val="lrTb"/>
            <w:noWrap w:val="false"/>
          </w:tcPr>
          <w:p>
            <w:pPr>
              <w:jc w:val="center"/>
              <w:spacing w:line="360" w:lineRule="auto"/>
              <w:widowControl/>
              <w:rPr>
                <w:rFonts w:hint="eastAsia" w:ascii="宋体" w:hAnsi="宋体"/>
                <w:strike/>
                <w:color w:val="auto"/>
                <w:szCs w:val="21"/>
                <w:highlight w:val="none"/>
              </w:rPr>
            </w:pPr>
            <w:r>
              <w:rPr>
                <w:rFonts w:hint="eastAsia" w:ascii="宋体" w:hAnsi="宋体"/>
                <w:strike/>
                <w:color w:val="auto"/>
                <w:szCs w:val="21"/>
                <w:highlight w:val="none"/>
              </w:rPr>
            </w:r>
            <w:r/>
          </w:p>
        </w:tc>
        <w:tc>
          <w:tcPr>
            <w:tcBorders>
              <w:left w:val="single" w:color="000000" w:sz="4" w:space="0"/>
              <w:bottom w:val="single" w:color="000000" w:sz="4" w:space="0"/>
              <w:right w:val="single" w:color="000000" w:sz="4" w:space="0"/>
            </w:tcBorders>
            <w:tcW w:w="946" w:type="dxa"/>
            <w:vAlign w:val="center"/>
            <w:vMerge w:val="continue"/>
            <w:textDirection w:val="lrTb"/>
            <w:noWrap w:val="false"/>
          </w:tcPr>
          <w:p>
            <w:pPr>
              <w:jc w:val="left"/>
              <w:spacing w:line="360" w:lineRule="auto"/>
              <w:widowControl/>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地点</w:t>
            </w:r>
            <w:r/>
          </w:p>
        </w:tc>
        <w:tc>
          <w:tcPr>
            <w:gridSpan w:val="2"/>
            <w:tcBorders>
              <w:top w:val="single" w:color="000000" w:sz="4" w:space="0"/>
              <w:left w:val="single" w:color="000000" w:sz="4" w:space="0"/>
              <w:bottom w:val="single" w:color="000000" w:sz="4" w:space="0"/>
              <w:right w:val="single" w:color="000000" w:sz="4" w:space="0"/>
            </w:tcBorders>
            <w:tcW w:w="6528" w:type="dxa"/>
            <w:vAlign w:val="center"/>
            <w:textDirection w:val="lrTb"/>
            <w:noWrap w:val="false"/>
          </w:tcPr>
          <w:p>
            <w:pPr>
              <w:spacing w:line="360" w:lineRule="auto"/>
              <w:rPr>
                <w:rFonts w:hint="eastAsia" w:ascii="宋体" w:hAnsi="宋体"/>
                <w:color w:val="auto"/>
                <w:szCs w:val="21"/>
                <w:highlight w:val="none"/>
                <w:lang w:val="zh-CN"/>
              </w:rPr>
            </w:pPr>
            <w:r>
              <w:rPr>
                <w:rFonts w:hint="eastAsia" w:ascii="宋体" w:hAnsi="宋体" w:cs="Trebuchet MS"/>
                <w:color w:val="auto"/>
                <w:szCs w:val="21"/>
                <w:highlight w:val="none"/>
              </w:rPr>
              <w:t xml:space="preserve">江苏省政府采购交易系统（以下简称“苏采云系统”）网上开标大厅</w:t>
            </w:r>
            <w:r/>
          </w:p>
        </w:tc>
      </w:tr>
      <w:tr>
        <w:trPr>
          <w:cantSplit/>
          <w:jc w:val="center"/>
          <w:trHeight w:val="624"/>
        </w:trPr>
        <w:tc>
          <w:tcPr>
            <w:tcBorders>
              <w:top w:val="single" w:color="000000" w:sz="4" w:space="0"/>
              <w:left w:val="single" w:color="000000" w:sz="4" w:space="0"/>
              <w:right w:val="single" w:color="000000" w:sz="4" w:space="0"/>
            </w:tcBorders>
            <w:tcW w:w="750" w:type="dxa"/>
            <w:vAlign w:val="center"/>
            <w:vMerge w:val="restart"/>
            <w:textDirection w:val="lrTb"/>
            <w:noWrap w:val="false"/>
          </w:tcPr>
          <w:p>
            <w:pPr>
              <w:jc w:val="center"/>
              <w:spacing w:line="360" w:lineRule="auto"/>
              <w:widowControl/>
              <w:rPr>
                <w:rFonts w:hint="eastAsia" w:ascii="宋体" w:hAnsi="宋体"/>
                <w:color w:val="auto"/>
                <w:szCs w:val="21"/>
                <w:highlight w:val="none"/>
              </w:rPr>
            </w:pPr>
            <w:r>
              <w:rPr>
                <w:rFonts w:ascii="宋体" w:hAnsi="宋体"/>
                <w:color w:val="auto"/>
                <w:szCs w:val="21"/>
                <w:highlight w:val="none"/>
              </w:rPr>
              <w:t xml:space="preserve">10</w:t>
            </w:r>
            <w:r/>
          </w:p>
        </w:tc>
        <w:tc>
          <w:tcPr>
            <w:tcBorders>
              <w:top w:val="single" w:color="000000" w:sz="4" w:space="0"/>
              <w:left w:val="single" w:color="000000" w:sz="4" w:space="0"/>
              <w:right w:val="single" w:color="000000" w:sz="4" w:space="0"/>
            </w:tcBorders>
            <w:tcW w:w="946" w:type="dxa"/>
            <w:vAlign w:val="center"/>
            <w:vMerge w:val="restart"/>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投标</w:t>
            </w:r>
            <w:r/>
          </w:p>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信息</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spacing w:line="360" w:lineRule="auto"/>
              <w:rPr>
                <w:rFonts w:hint="eastAsia" w:ascii="宋体" w:hAnsi="宋体"/>
                <w:color w:val="auto"/>
                <w:szCs w:val="21"/>
                <w:highlight w:val="none"/>
                <w:lang w:val="zh-CN"/>
              </w:rPr>
            </w:pPr>
            <w:r>
              <w:rPr>
                <w:rFonts w:hint="eastAsia" w:ascii="宋体" w:hAnsi="宋体"/>
                <w:color w:val="auto"/>
                <w:szCs w:val="21"/>
                <w:highlight w:val="none"/>
                <w:lang w:val="zh-CN"/>
              </w:rPr>
              <w:t xml:space="preserve">时间</w:t>
            </w:r>
            <w:r/>
          </w:p>
        </w:tc>
        <w:tc>
          <w:tcPr>
            <w:gridSpan w:val="2"/>
            <w:tcBorders>
              <w:top w:val="single" w:color="000000" w:sz="4" w:space="0"/>
              <w:left w:val="single" w:color="000000" w:sz="4" w:space="0"/>
              <w:bottom w:val="single" w:color="000000" w:sz="4" w:space="0"/>
              <w:right w:val="single" w:color="000000" w:sz="4" w:space="0"/>
            </w:tcBorders>
            <w:tcW w:w="6528" w:type="dxa"/>
            <w:vAlign w:val="center"/>
            <w:textDirection w:val="lrTb"/>
            <w:noWrap w:val="false"/>
          </w:tcPr>
          <w:p>
            <w:pPr>
              <w:spacing w:line="360" w:lineRule="auto"/>
              <w:rPr>
                <w:rFonts w:hint="eastAsia" w:ascii="宋体" w:hAnsi="宋体"/>
                <w:color w:val="auto"/>
                <w:szCs w:val="21"/>
                <w:highlight w:val="none"/>
                <w:lang w:val="zh-CN"/>
              </w:rPr>
            </w:pPr>
            <w:r>
              <w:rPr>
                <w:rFonts w:hint="eastAsia" w:ascii="宋体" w:hAnsi="宋体" w:cs="仿宋"/>
                <w:color w:val="auto"/>
                <w:szCs w:val="21"/>
                <w:highlight w:val="none"/>
                <w:lang w:val="zh-CN"/>
              </w:rPr>
              <w:t xml:space="preserve">2025年</w:t>
            </w:r>
            <w:r>
              <w:rPr>
                <w:rFonts w:hint="eastAsia" w:ascii="宋体" w:hAnsi="宋体" w:cs="Trebuchet MS"/>
                <w:color w:val="auto"/>
                <w:szCs w:val="21"/>
                <w:highlight w:val="none"/>
              </w:rPr>
              <w:t xml:space="preserve">12月</w:t>
            </w:r>
            <w:r>
              <w:rPr>
                <w:rFonts w:hint="eastAsia" w:ascii="宋体" w:hAnsi="宋体" w:cs="Trebuchet MS"/>
                <w:color w:val="auto"/>
                <w:szCs w:val="21"/>
                <w:highlight w:val="none"/>
                <w:lang w:val="en-US" w:eastAsia="zh-CN"/>
              </w:rPr>
              <w:t xml:space="preserve">30</w:t>
            </w:r>
            <w:r>
              <w:rPr>
                <w:rFonts w:hint="eastAsia" w:ascii="宋体" w:hAnsi="宋体" w:cs="Trebuchet MS"/>
                <w:color w:val="auto"/>
                <w:szCs w:val="21"/>
                <w:highlight w:val="none"/>
              </w:rPr>
              <w:t xml:space="preserve">日</w:t>
            </w:r>
            <w:r>
              <w:rPr>
                <w:rFonts w:hint="eastAsia" w:ascii="宋体" w:hAnsi="宋体" w:cs="Trebuchet MS"/>
                <w:color w:val="auto"/>
                <w:szCs w:val="21"/>
                <w:highlight w:val="none"/>
                <w:lang w:val="en-US" w:eastAsia="zh-CN"/>
              </w:rPr>
              <w:t xml:space="preserve">9</w:t>
            </w:r>
            <w:r>
              <w:rPr>
                <w:rFonts w:hint="eastAsia" w:ascii="宋体" w:hAnsi="宋体" w:cs="Trebuchet MS"/>
                <w:color w:val="auto"/>
                <w:szCs w:val="21"/>
                <w:highlight w:val="none"/>
              </w:rPr>
              <w:t xml:space="preserve">时</w:t>
            </w:r>
            <w:r>
              <w:rPr>
                <w:rFonts w:hint="eastAsia" w:ascii="宋体" w:hAnsi="宋体" w:cs="Trebuchet MS"/>
                <w:color w:val="auto"/>
                <w:szCs w:val="21"/>
                <w:highlight w:val="none"/>
                <w:lang w:val="en-US" w:eastAsia="zh-CN"/>
              </w:rPr>
              <w:t xml:space="preserve">30</w:t>
            </w:r>
            <w:r>
              <w:rPr>
                <w:rFonts w:hint="eastAsia" w:ascii="宋体" w:hAnsi="宋体" w:cs="Trebuchet MS"/>
                <w:color w:val="auto"/>
                <w:szCs w:val="21"/>
                <w:highlight w:val="none"/>
              </w:rPr>
              <w:t xml:space="preserve">分（北京时间）</w:t>
            </w:r>
            <w:r/>
          </w:p>
        </w:tc>
      </w:tr>
      <w:tr>
        <w:trPr>
          <w:cantSplit/>
          <w:jc w:val="center"/>
          <w:trHeight w:val="624"/>
        </w:trPr>
        <w:tc>
          <w:tcPr>
            <w:tcBorders>
              <w:left w:val="single" w:color="000000" w:sz="4" w:space="0"/>
              <w:right w:val="single" w:color="000000" w:sz="4" w:space="0"/>
            </w:tcBorders>
            <w:tcW w:w="750" w:type="dxa"/>
            <w:vAlign w:val="center"/>
            <w:vMerge w:val="continue"/>
            <w:textDirection w:val="lrTb"/>
            <w:noWrap w:val="false"/>
          </w:tcPr>
          <w:p>
            <w:pPr>
              <w:jc w:val="center"/>
              <w:spacing w:line="360" w:lineRule="auto"/>
              <w:widowControl/>
              <w:rPr>
                <w:rFonts w:hint="eastAsia" w:ascii="宋体" w:hAnsi="宋体"/>
                <w:color w:val="auto"/>
                <w:szCs w:val="21"/>
                <w:highlight w:val="none"/>
              </w:rPr>
            </w:pPr>
            <w:r>
              <w:rPr>
                <w:rFonts w:hint="eastAsia" w:ascii="宋体" w:hAnsi="宋体"/>
                <w:color w:val="auto"/>
                <w:szCs w:val="21"/>
                <w:highlight w:val="none"/>
              </w:rPr>
            </w:r>
            <w:r/>
          </w:p>
        </w:tc>
        <w:tc>
          <w:tcPr>
            <w:tcBorders>
              <w:left w:val="single" w:color="000000" w:sz="4" w:space="0"/>
              <w:right w:val="single" w:color="000000" w:sz="4" w:space="0"/>
            </w:tcBorders>
            <w:tcW w:w="946" w:type="dxa"/>
            <w:vAlign w:val="center"/>
            <w:vMerge w:val="continue"/>
            <w:textDirection w:val="lrTb"/>
            <w:noWrap w:val="false"/>
          </w:tcPr>
          <w:p>
            <w:pPr>
              <w:jc w:val="left"/>
              <w:spacing w:line="360" w:lineRule="auto"/>
              <w:widowControl/>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spacing w:line="360" w:lineRule="auto"/>
              <w:rPr>
                <w:rFonts w:hint="eastAsia" w:ascii="宋体" w:hAnsi="宋体"/>
                <w:color w:val="auto"/>
                <w:szCs w:val="21"/>
                <w:highlight w:val="none"/>
                <w:lang w:val="zh-CN"/>
              </w:rPr>
            </w:pPr>
            <w:r>
              <w:rPr>
                <w:rFonts w:hint="eastAsia" w:ascii="宋体" w:hAnsi="宋体"/>
                <w:color w:val="auto"/>
                <w:szCs w:val="21"/>
                <w:highlight w:val="none"/>
                <w:lang w:val="zh-CN"/>
              </w:rPr>
              <w:t xml:space="preserve">地点</w:t>
            </w:r>
            <w:r/>
          </w:p>
        </w:tc>
        <w:tc>
          <w:tcPr>
            <w:gridSpan w:val="2"/>
            <w:tcBorders>
              <w:top w:val="single" w:color="000000" w:sz="4" w:space="0"/>
              <w:left w:val="single" w:color="000000" w:sz="4" w:space="0"/>
              <w:bottom w:val="single" w:color="000000" w:sz="4" w:space="0"/>
              <w:right w:val="single" w:color="000000" w:sz="4" w:space="0"/>
            </w:tcBorders>
            <w:tcW w:w="6528" w:type="dxa"/>
            <w:vAlign w:val="center"/>
            <w:textDirection w:val="lrTb"/>
            <w:noWrap w:val="false"/>
          </w:tcPr>
          <w:p>
            <w:pPr>
              <w:spacing w:line="360" w:lineRule="auto"/>
              <w:rPr>
                <w:rFonts w:hint="eastAsia" w:ascii="宋体" w:hAnsi="宋体"/>
                <w:color w:val="auto"/>
                <w:szCs w:val="21"/>
                <w:highlight w:val="none"/>
                <w:lang w:val="zh-CN"/>
              </w:rPr>
            </w:pPr>
            <w:r>
              <w:rPr>
                <w:rFonts w:hint="eastAsia" w:ascii="宋体" w:hAnsi="宋体" w:cs="Trebuchet MS"/>
                <w:color w:val="auto"/>
                <w:szCs w:val="21"/>
                <w:highlight w:val="none"/>
              </w:rPr>
              <w:t xml:space="preserve">江苏省政府采购交易系统（以下简称“</w:t>
            </w:r>
            <w:r>
              <w:rPr>
                <w:rFonts w:hint="eastAsia" w:ascii="宋体" w:hAnsi="宋体" w:cs="宋体"/>
                <w:color w:val="auto"/>
                <w:szCs w:val="21"/>
                <w:highlight w:val="none"/>
              </w:rPr>
              <w:t xml:space="preserve">苏采云系统</w:t>
            </w:r>
            <w:r>
              <w:rPr>
                <w:rFonts w:hint="eastAsia" w:ascii="宋体" w:hAnsi="宋体" w:cs="Trebuchet MS"/>
                <w:color w:val="auto"/>
                <w:szCs w:val="21"/>
                <w:highlight w:val="none"/>
              </w:rPr>
              <w:t xml:space="preserve">”）网上</w:t>
            </w:r>
            <w:r>
              <w:rPr>
                <w:rFonts w:hint="eastAsia" w:ascii="宋体" w:hAnsi="宋体" w:cs="宋体"/>
                <w:color w:val="auto"/>
                <w:szCs w:val="21"/>
                <w:highlight w:val="none"/>
              </w:rPr>
              <w:t xml:space="preserve">开标大厅</w:t>
            </w:r>
            <w:r/>
          </w:p>
        </w:tc>
      </w:tr>
      <w:tr>
        <w:trPr>
          <w:cantSplit/>
          <w:jc w:val="center"/>
          <w:trHeight w:val="624"/>
        </w:trPr>
        <w:tc>
          <w:tcPr>
            <w:tcBorders>
              <w:top w:val="single" w:color="000000" w:sz="4" w:space="0"/>
              <w:left w:val="single" w:color="000000" w:sz="4" w:space="0"/>
              <w:right w:val="single" w:color="000000" w:sz="4" w:space="0"/>
            </w:tcBorders>
            <w:tcW w:w="750" w:type="dxa"/>
            <w:vAlign w:val="center"/>
            <w:vMerge w:val="restart"/>
            <w:textDirection w:val="lrTb"/>
            <w:noWrap w:val="false"/>
          </w:tcPr>
          <w:p>
            <w:pPr>
              <w:jc w:val="center"/>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11</w:t>
            </w:r>
            <w:r/>
          </w:p>
        </w:tc>
        <w:tc>
          <w:tcPr>
            <w:tcBorders>
              <w:top w:val="single" w:color="000000" w:sz="4" w:space="0"/>
              <w:left w:val="single" w:color="000000" w:sz="4" w:space="0"/>
              <w:right w:val="single" w:color="000000" w:sz="4" w:space="0"/>
            </w:tcBorders>
            <w:tcW w:w="946" w:type="dxa"/>
            <w:vAlign w:val="center"/>
            <w:vMerge w:val="restart"/>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联系</w:t>
            </w:r>
            <w:r/>
          </w:p>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事项</w:t>
            </w:r>
            <w:r/>
          </w:p>
        </w:tc>
        <w:tc>
          <w:tcPr>
            <w:tcBorders>
              <w:top w:val="single" w:color="000000" w:sz="4" w:space="0"/>
              <w:left w:val="single" w:color="000000" w:sz="4" w:space="0"/>
              <w:right w:val="single" w:color="000000" w:sz="4" w:space="0"/>
            </w:tcBorders>
            <w:tcW w:w="1031" w:type="dxa"/>
            <w:vAlign w:val="center"/>
            <w:vMerge w:val="restart"/>
            <w:textDirection w:val="lrTb"/>
            <w:noWrap w:val="false"/>
          </w:tcPr>
          <w:p>
            <w:pPr>
              <w:jc w:val="center"/>
              <w:spacing w:line="360" w:lineRule="auto"/>
              <w:rPr>
                <w:rFonts w:hint="eastAsia" w:ascii="宋体" w:hAnsi="宋体"/>
                <w:color w:val="auto"/>
                <w:szCs w:val="21"/>
                <w:highlight w:val="none"/>
                <w:lang w:val="zh-CN"/>
              </w:rPr>
            </w:pPr>
            <w:r>
              <w:rPr>
                <w:rFonts w:hint="eastAsia" w:ascii="宋体" w:hAnsi="宋体"/>
                <w:color w:val="auto"/>
                <w:szCs w:val="21"/>
                <w:highlight w:val="none"/>
                <w:lang w:val="zh-CN"/>
              </w:rPr>
              <w:t xml:space="preserve">采购</w:t>
            </w:r>
            <w:r/>
          </w:p>
          <w:p>
            <w:pPr>
              <w:jc w:val="center"/>
              <w:spacing w:line="360" w:lineRule="auto"/>
              <w:rPr>
                <w:rFonts w:hint="eastAsia" w:ascii="宋体" w:hAnsi="宋体"/>
                <w:color w:val="auto"/>
                <w:szCs w:val="21"/>
                <w:highlight w:val="none"/>
                <w:lang w:val="zh-CN"/>
              </w:rPr>
            </w:pPr>
            <w:r>
              <w:rPr>
                <w:rFonts w:hint="eastAsia" w:ascii="宋体" w:hAnsi="宋体"/>
                <w:color w:val="auto"/>
                <w:szCs w:val="21"/>
                <w:highlight w:val="none"/>
                <w:lang w:val="zh-CN"/>
              </w:rPr>
              <w:t xml:space="preserve">单位</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spacing w:line="360" w:lineRule="auto"/>
              <w:rPr>
                <w:rFonts w:hint="eastAsia" w:ascii="宋体" w:hAnsi="宋体"/>
                <w:color w:val="auto"/>
                <w:szCs w:val="21"/>
                <w:highlight w:val="none"/>
                <w:lang w:val="zh-CN"/>
              </w:rPr>
            </w:pPr>
            <w:r>
              <w:rPr>
                <w:rFonts w:hint="eastAsia" w:ascii="宋体" w:hAnsi="宋体"/>
                <w:color w:val="auto"/>
                <w:szCs w:val="21"/>
                <w:highlight w:val="none"/>
                <w:lang w:val="zh-CN"/>
              </w:rPr>
              <w:t xml:space="preserve">联系人</w:t>
            </w:r>
            <w:r/>
          </w:p>
        </w:tc>
        <w:tc>
          <w:tcPr>
            <w:tcBorders>
              <w:top w:val="single" w:color="000000" w:sz="4" w:space="0"/>
              <w:left w:val="single" w:color="000000" w:sz="4" w:space="0"/>
              <w:bottom w:val="single" w:color="000000" w:sz="4" w:space="0"/>
              <w:right w:val="single" w:color="000000" w:sz="4" w:space="0"/>
            </w:tcBorders>
            <w:tcW w:w="4842" w:type="dxa"/>
            <w:vAlign w:val="center"/>
            <w:textDirection w:val="lrTb"/>
            <w:noWrap w:val="false"/>
          </w:tcPr>
          <w:p>
            <w:pPr>
              <w:spacing w:line="360" w:lineRule="auto"/>
              <w:tabs>
                <w:tab w:val="left" w:pos="0" w:leader="none"/>
                <w:tab w:val="left" w:pos="510" w:leader="none"/>
                <w:tab w:val="left" w:pos="1134" w:leader="none"/>
              </w:tabs>
              <w:rPr>
                <w:rFonts w:hint="eastAsia" w:ascii="宋体" w:hAnsi="宋体"/>
                <w:color w:val="auto"/>
                <w:szCs w:val="21"/>
                <w:highlight w:val="none"/>
              </w:rPr>
            </w:pPr>
            <w:r>
              <w:rPr>
                <w:rFonts w:hint="eastAsia" w:ascii="宋体" w:hAnsi="宋体" w:cs="宋体"/>
                <w:color w:val="auto"/>
                <w:sz w:val="20"/>
                <w:szCs w:val="20"/>
                <w:highlight w:val="none"/>
              </w:rPr>
              <w:t xml:space="preserve">韩工</w:t>
            </w:r>
            <w:r/>
          </w:p>
        </w:tc>
      </w:tr>
      <w:tr>
        <w:trPr>
          <w:cantSplit/>
          <w:jc w:val="center"/>
          <w:trHeight w:val="624"/>
        </w:trPr>
        <w:tc>
          <w:tcPr>
            <w:tcBorders>
              <w:left w:val="single" w:color="000000" w:sz="4" w:space="0"/>
              <w:right w:val="single" w:color="000000" w:sz="4" w:space="0"/>
            </w:tcBorders>
            <w:tcW w:w="750" w:type="dxa"/>
            <w:vAlign w:val="center"/>
            <w:vMerge w:val="continue"/>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left w:val="single" w:color="000000" w:sz="4" w:space="0"/>
              <w:right w:val="single" w:color="000000" w:sz="4" w:space="0"/>
            </w:tcBorders>
            <w:tcW w:w="946" w:type="dxa"/>
            <w:vAlign w:val="center"/>
            <w:vMerge w:val="continue"/>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left w:val="single" w:color="000000" w:sz="4" w:space="0"/>
              <w:bottom w:val="single" w:color="000000" w:sz="4" w:space="0"/>
              <w:right w:val="single" w:color="000000" w:sz="4" w:space="0"/>
            </w:tcBorders>
            <w:tcW w:w="1031" w:type="dxa"/>
            <w:vAlign w:val="center"/>
            <w:vMerge w:val="continue"/>
            <w:textDirection w:val="lrTb"/>
            <w:noWrap w:val="false"/>
          </w:tcPr>
          <w:p>
            <w:pPr>
              <w:jc w:val="center"/>
              <w:spacing w:line="360" w:lineRule="auto"/>
              <w:rPr>
                <w:rFonts w:hint="eastAsia" w:ascii="宋体" w:hAnsi="宋体"/>
                <w:color w:val="auto"/>
                <w:szCs w:val="21"/>
                <w:highlight w:val="none"/>
                <w:lang w:val="zh-CN"/>
              </w:rPr>
            </w:pPr>
            <w:r>
              <w:rPr>
                <w:rFonts w:hint="eastAsia" w:ascii="宋体" w:hAnsi="宋体"/>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spacing w:line="360" w:lineRule="auto"/>
              <w:rPr>
                <w:rFonts w:hint="eastAsia" w:ascii="宋体" w:hAnsi="宋体"/>
                <w:color w:val="auto"/>
                <w:szCs w:val="21"/>
                <w:highlight w:val="none"/>
                <w:lang w:val="zh-CN"/>
              </w:rPr>
            </w:pPr>
            <w:r>
              <w:rPr>
                <w:rFonts w:hint="eastAsia" w:ascii="宋体" w:hAnsi="宋体"/>
                <w:color w:val="auto"/>
                <w:szCs w:val="21"/>
                <w:highlight w:val="none"/>
                <w:lang w:val="zh-CN"/>
              </w:rPr>
              <w:t xml:space="preserve">联系电话</w:t>
            </w:r>
            <w:r/>
          </w:p>
        </w:tc>
        <w:tc>
          <w:tcPr>
            <w:tcBorders>
              <w:top w:val="single" w:color="000000" w:sz="4" w:space="0"/>
              <w:left w:val="single" w:color="000000" w:sz="4" w:space="0"/>
              <w:bottom w:val="single" w:color="000000" w:sz="4" w:space="0"/>
              <w:right w:val="single" w:color="000000" w:sz="4" w:space="0"/>
            </w:tcBorders>
            <w:tcW w:w="4842" w:type="dxa"/>
            <w:vAlign w:val="center"/>
            <w:textDirection w:val="lrTb"/>
            <w:noWrap w:val="false"/>
          </w:tcPr>
          <w:p>
            <w:pPr>
              <w:spacing w:line="360" w:lineRule="auto"/>
              <w:rPr>
                <w:rFonts w:hint="eastAsia" w:ascii="宋体" w:hAnsi="宋体"/>
                <w:color w:val="auto"/>
                <w:szCs w:val="21"/>
                <w:highlight w:val="none"/>
                <w:lang w:val="zh-CN"/>
              </w:rPr>
            </w:pPr>
            <w:r>
              <w:rPr>
                <w:rFonts w:hint="eastAsia" w:ascii="宋体" w:hAnsi="宋体" w:cs="宋体"/>
                <w:color w:val="auto"/>
                <w:sz w:val="20"/>
                <w:szCs w:val="20"/>
                <w:highlight w:val="none"/>
              </w:rPr>
              <w:t xml:space="preserve"> </w:t>
            </w:r>
            <w:r>
              <w:rPr>
                <w:rFonts w:hint="eastAsia" w:ascii="宋体" w:hAnsi="宋体" w:cs="宋体"/>
                <w:bCs/>
                <w:color w:val="auto"/>
                <w:sz w:val="22"/>
                <w:highlight w:val="none"/>
              </w:rPr>
              <w:t xml:space="preserve">025-52106771</w:t>
            </w:r>
            <w:r>
              <w:rPr>
                <w:rFonts w:hint="eastAsia" w:ascii="宋体" w:hAnsi="宋体" w:cs="宋体"/>
                <w:color w:val="auto"/>
                <w:sz w:val="20"/>
                <w:szCs w:val="20"/>
                <w:highlight w:val="none"/>
              </w:rPr>
              <w:t xml:space="preserve"> </w:t>
            </w:r>
            <w:r/>
          </w:p>
        </w:tc>
      </w:tr>
      <w:tr>
        <w:trPr>
          <w:cantSplit/>
          <w:jc w:val="center"/>
          <w:trHeight w:val="624"/>
        </w:trPr>
        <w:tc>
          <w:tcPr>
            <w:tcBorders>
              <w:left w:val="single" w:color="000000" w:sz="4" w:space="0"/>
              <w:right w:val="single" w:color="000000" w:sz="4" w:space="0"/>
            </w:tcBorders>
            <w:tcW w:w="750" w:type="dxa"/>
            <w:vAlign w:val="center"/>
            <w:vMerge w:val="continue"/>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left w:val="single" w:color="000000" w:sz="4" w:space="0"/>
              <w:right w:val="single" w:color="000000" w:sz="4" w:space="0"/>
            </w:tcBorders>
            <w:tcW w:w="946" w:type="dxa"/>
            <w:vAlign w:val="center"/>
            <w:vMerge w:val="continue"/>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4" w:space="0"/>
              <w:left w:val="single" w:color="000000" w:sz="4" w:space="0"/>
              <w:right w:val="single" w:color="000000" w:sz="4" w:space="0"/>
            </w:tcBorders>
            <w:tcW w:w="1031" w:type="dxa"/>
            <w:vAlign w:val="center"/>
            <w:vMerge w:val="restart"/>
            <w:textDirection w:val="lrTb"/>
            <w:noWrap w:val="false"/>
          </w:tcPr>
          <w:p>
            <w:pPr>
              <w:jc w:val="center"/>
              <w:spacing w:line="360" w:lineRule="auto"/>
              <w:rPr>
                <w:rFonts w:hint="eastAsia" w:ascii="宋体" w:hAnsi="宋体"/>
                <w:color w:val="auto"/>
                <w:szCs w:val="21"/>
                <w:highlight w:val="none"/>
                <w:lang w:val="zh-CN"/>
              </w:rPr>
            </w:pPr>
            <w:r>
              <w:rPr>
                <w:rFonts w:hint="eastAsia" w:ascii="宋体" w:hAnsi="宋体"/>
                <w:color w:val="auto"/>
                <w:szCs w:val="21"/>
                <w:highlight w:val="none"/>
                <w:lang w:val="zh-CN"/>
              </w:rPr>
              <w:t xml:space="preserve">采购代理机构</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spacing w:line="360" w:lineRule="auto"/>
              <w:rPr>
                <w:rFonts w:hint="eastAsia" w:ascii="宋体" w:hAnsi="宋体"/>
                <w:color w:val="auto"/>
                <w:szCs w:val="21"/>
                <w:highlight w:val="none"/>
                <w:lang w:val="zh-CN"/>
              </w:rPr>
            </w:pPr>
            <w:r>
              <w:rPr>
                <w:rFonts w:hint="eastAsia" w:ascii="宋体" w:hAnsi="宋体"/>
                <w:color w:val="auto"/>
                <w:szCs w:val="21"/>
                <w:highlight w:val="none"/>
                <w:lang w:val="zh-CN"/>
              </w:rPr>
              <w:t xml:space="preserve">联系人</w:t>
            </w:r>
            <w:r/>
          </w:p>
        </w:tc>
        <w:tc>
          <w:tcPr>
            <w:tcBorders>
              <w:top w:val="single" w:color="000000" w:sz="4" w:space="0"/>
              <w:left w:val="single" w:color="000000" w:sz="4" w:space="0"/>
              <w:bottom w:val="single" w:color="000000" w:sz="4" w:space="0"/>
              <w:right w:val="single" w:color="000000" w:sz="4" w:space="0"/>
            </w:tcBorders>
            <w:tcW w:w="4842" w:type="dxa"/>
            <w:vAlign w:val="center"/>
            <w:textDirection w:val="lrTb"/>
            <w:noWrap w:val="false"/>
          </w:tcPr>
          <w:p>
            <w:pPr>
              <w:spacing w:line="360" w:lineRule="auto"/>
              <w:rPr>
                <w:rFonts w:hint="eastAsia" w:ascii="宋体" w:hAnsi="宋体"/>
                <w:color w:val="auto"/>
                <w:szCs w:val="21"/>
                <w:highlight w:val="none"/>
                <w:lang w:val="zh-CN"/>
              </w:rPr>
            </w:pPr>
            <w:r>
              <w:rPr>
                <w:rFonts w:hint="eastAsia" w:ascii="宋体" w:hAnsi="宋体"/>
                <w:color w:val="auto"/>
                <w:szCs w:val="21"/>
                <w:highlight w:val="none"/>
              </w:rPr>
              <w:t xml:space="preserve">冯</w:t>
            </w:r>
            <w:r>
              <w:rPr>
                <w:rFonts w:hint="eastAsia" w:ascii="宋体" w:hAnsi="宋体"/>
                <w:color w:val="auto"/>
                <w:szCs w:val="21"/>
                <w:highlight w:val="none"/>
                <w:lang w:val="zh-CN"/>
              </w:rPr>
              <w:t xml:space="preserve">工</w:t>
            </w:r>
            <w:r/>
          </w:p>
        </w:tc>
      </w:tr>
      <w:tr>
        <w:trPr>
          <w:cantSplit/>
          <w:jc w:val="center"/>
          <w:trHeight w:val="624"/>
        </w:trPr>
        <w:tc>
          <w:tcPr>
            <w:tcBorders>
              <w:left w:val="single" w:color="000000" w:sz="4" w:space="0"/>
              <w:right w:val="single" w:color="000000" w:sz="4" w:space="0"/>
            </w:tcBorders>
            <w:tcW w:w="750" w:type="dxa"/>
            <w:vAlign w:val="center"/>
            <w:vMerge w:val="continue"/>
            <w:textDirection w:val="lrTb"/>
            <w:noWrap w:val="false"/>
          </w:tcPr>
          <w:p>
            <w:pPr>
              <w:jc w:val="left"/>
              <w:spacing w:line="360" w:lineRule="auto"/>
              <w:widowControl/>
              <w:rPr>
                <w:rFonts w:hint="eastAsia" w:ascii="宋体" w:hAnsi="宋体"/>
                <w:color w:val="auto"/>
                <w:szCs w:val="21"/>
                <w:highlight w:val="none"/>
              </w:rPr>
            </w:pPr>
            <w:r>
              <w:rPr>
                <w:rFonts w:hint="eastAsia" w:ascii="宋体" w:hAnsi="宋体"/>
                <w:color w:val="auto"/>
                <w:szCs w:val="21"/>
                <w:highlight w:val="none"/>
              </w:rPr>
            </w:r>
            <w:r/>
          </w:p>
        </w:tc>
        <w:tc>
          <w:tcPr>
            <w:tcBorders>
              <w:left w:val="single" w:color="000000" w:sz="4" w:space="0"/>
              <w:right w:val="single" w:color="000000" w:sz="4" w:space="0"/>
            </w:tcBorders>
            <w:tcW w:w="946" w:type="dxa"/>
            <w:vAlign w:val="center"/>
            <w:vMerge w:val="continue"/>
            <w:textDirection w:val="lrTb"/>
            <w:noWrap w:val="false"/>
          </w:tcPr>
          <w:p>
            <w:pPr>
              <w:jc w:val="left"/>
              <w:spacing w:line="360" w:lineRule="auto"/>
              <w:widowControl/>
              <w:rPr>
                <w:rFonts w:hint="eastAsia" w:ascii="宋体" w:hAnsi="宋体"/>
                <w:color w:val="auto"/>
                <w:szCs w:val="21"/>
                <w:highlight w:val="none"/>
              </w:rPr>
            </w:pPr>
            <w:r>
              <w:rPr>
                <w:rFonts w:hint="eastAsia" w:ascii="宋体" w:hAnsi="宋体"/>
                <w:color w:val="auto"/>
                <w:szCs w:val="21"/>
                <w:highlight w:val="none"/>
              </w:rPr>
            </w:r>
            <w:r/>
          </w:p>
        </w:tc>
        <w:tc>
          <w:tcPr>
            <w:tcBorders>
              <w:left w:val="single" w:color="000000" w:sz="4" w:space="0"/>
              <w:right w:val="single" w:color="000000" w:sz="4" w:space="0"/>
            </w:tcBorders>
            <w:tcW w:w="1031" w:type="dxa"/>
            <w:vAlign w:val="center"/>
            <w:vMerge w:val="continue"/>
            <w:textDirection w:val="lrTb"/>
            <w:noWrap w:val="false"/>
          </w:tcPr>
          <w:p>
            <w:pPr>
              <w:spacing w:line="360" w:lineRule="auto"/>
              <w:rPr>
                <w:rFonts w:hint="eastAsia" w:ascii="宋体" w:hAnsi="宋体"/>
                <w:color w:val="auto"/>
                <w:szCs w:val="21"/>
                <w:highlight w:val="none"/>
                <w:lang w:val="zh-CN"/>
              </w:rPr>
            </w:pPr>
            <w:r>
              <w:rPr>
                <w:rFonts w:hint="eastAsia" w:ascii="宋体" w:hAnsi="宋体"/>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spacing w:line="360" w:lineRule="auto"/>
              <w:rPr>
                <w:rFonts w:hint="eastAsia" w:ascii="宋体" w:hAnsi="宋体"/>
                <w:color w:val="auto"/>
                <w:szCs w:val="21"/>
                <w:highlight w:val="none"/>
                <w:lang w:val="zh-CN"/>
              </w:rPr>
            </w:pPr>
            <w:r>
              <w:rPr>
                <w:rFonts w:hint="eastAsia" w:ascii="宋体" w:hAnsi="宋体"/>
                <w:color w:val="auto"/>
                <w:szCs w:val="21"/>
                <w:highlight w:val="none"/>
                <w:lang w:val="zh-CN"/>
              </w:rPr>
              <w:t xml:space="preserve">联系电话</w:t>
            </w:r>
            <w:r/>
          </w:p>
        </w:tc>
        <w:tc>
          <w:tcPr>
            <w:tcBorders>
              <w:top w:val="single" w:color="000000" w:sz="4" w:space="0"/>
              <w:left w:val="single" w:color="000000" w:sz="4" w:space="0"/>
              <w:bottom w:val="single" w:color="000000" w:sz="4" w:space="0"/>
              <w:right w:val="single" w:color="000000" w:sz="4" w:space="0"/>
            </w:tcBorders>
            <w:tcW w:w="4842" w:type="dxa"/>
            <w:vAlign w:val="center"/>
            <w:textDirection w:val="lrTb"/>
            <w:noWrap w:val="false"/>
          </w:tcPr>
          <w:p>
            <w:pPr>
              <w:spacing w:line="360" w:lineRule="auto"/>
              <w:rPr>
                <w:rFonts w:hint="eastAsia" w:ascii="宋体" w:hAnsi="宋体"/>
                <w:color w:val="auto"/>
                <w:szCs w:val="21"/>
                <w:highlight w:val="none"/>
                <w:lang w:val="zh-CN"/>
              </w:rPr>
            </w:pPr>
            <w:r>
              <w:rPr>
                <w:rFonts w:hint="eastAsia" w:ascii="宋体" w:hAnsi="宋体"/>
                <w:color w:val="auto"/>
                <w:szCs w:val="21"/>
                <w:highlight w:val="none"/>
                <w:lang w:val="zh-CN"/>
              </w:rPr>
              <w:t xml:space="preserve">025-52166105-8029</w:t>
            </w:r>
            <w:r/>
          </w:p>
        </w:tc>
      </w:tr>
    </w:tbl>
    <w:p>
      <w:pPr>
        <w:spacing w:line="460" w:lineRule="exact"/>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46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一、总则</w:t>
      </w:r>
      <w:r/>
    </w:p>
    <w:p>
      <w:pPr>
        <w:pStyle w:val="1013"/>
        <w:ind w:firstLine="413"/>
        <w:spacing w:line="460" w:lineRule="exact"/>
        <w:rPr>
          <w:rFonts w:hint="eastAsia" w:hAnsi="宋体"/>
          <w:b/>
          <w:color w:val="auto"/>
          <w:szCs w:val="21"/>
          <w:highlight w:val="none"/>
          <w:lang w:val="zh-CN"/>
        </w:rPr>
      </w:pPr>
      <w:r/>
      <w:bookmarkStart w:id="15" w:name="_Toc31812"/>
      <w:r/>
      <w:bookmarkStart w:id="16" w:name="_Toc3875"/>
      <w:r>
        <w:rPr>
          <w:rFonts w:hint="eastAsia" w:hAnsi="宋体"/>
          <w:b/>
          <w:color w:val="auto"/>
          <w:szCs w:val="21"/>
          <w:highlight w:val="none"/>
          <w:lang w:val="zh-CN"/>
        </w:rPr>
        <w:t xml:space="preserve">1、适用法律</w:t>
      </w:r>
      <w:bookmarkEnd w:id="15"/>
      <w:r/>
      <w:bookmarkEnd w:id="16"/>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1.1 《中华人民共和国政府采购法》、《中华人民共和国政府采购法实施条例》、《政府采购货物和服务招标投标管理办法》等有关法律、规章和规定等。</w:t>
      </w:r>
      <w:r/>
    </w:p>
    <w:p>
      <w:pPr>
        <w:pStyle w:val="1013"/>
        <w:ind w:firstLine="420"/>
        <w:spacing w:line="460" w:lineRule="exact"/>
        <w:rPr>
          <w:rFonts w:hint="eastAsia" w:hAnsi="宋体"/>
          <w:b/>
          <w:color w:val="auto"/>
          <w:szCs w:val="21"/>
          <w:highlight w:val="none"/>
          <w:lang w:val="zh-CN"/>
        </w:rPr>
      </w:pPr>
      <w:r/>
      <w:bookmarkStart w:id="17" w:name="_Toc23139"/>
      <w:r/>
      <w:bookmarkStart w:id="18" w:name="_Toc25938"/>
      <w:r>
        <w:rPr>
          <w:rFonts w:hint="eastAsia" w:hAnsi="宋体"/>
          <w:b/>
          <w:color w:val="auto"/>
          <w:szCs w:val="21"/>
          <w:highlight w:val="none"/>
          <w:lang w:val="zh-CN"/>
        </w:rPr>
        <w:t xml:space="preserve">2、定义</w:t>
      </w:r>
      <w:bookmarkEnd w:id="17"/>
      <w:r/>
      <w:bookmarkEnd w:id="18"/>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2.1 “供应商”是指参加投标竞争，并符合采购文件规定资格条件的法人、其他组织或者自然人。</w:t>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2.2 “产品”指本采购文件中所述产品及相关服务。</w:t>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2.3 “用户或使用单位”是指使用服务的单位。</w:t>
      </w:r>
      <w:r/>
    </w:p>
    <w:p>
      <w:pPr>
        <w:pStyle w:val="1013"/>
        <w:ind w:firstLine="422"/>
        <w:spacing w:line="460" w:lineRule="exact"/>
        <w:rPr>
          <w:rFonts w:hint="eastAsia" w:hAnsi="宋体"/>
          <w:b/>
          <w:bCs/>
          <w:color w:val="auto"/>
          <w:szCs w:val="21"/>
          <w:highlight w:val="none"/>
          <w:lang w:val="zh-CN"/>
        </w:rPr>
      </w:pPr>
      <w:r>
        <w:rPr>
          <w:rFonts w:hint="eastAsia" w:hAnsi="宋体"/>
          <w:b/>
          <w:bCs/>
          <w:color w:val="auto"/>
          <w:szCs w:val="21"/>
          <w:highlight w:val="none"/>
          <w:lang w:val="zh-CN"/>
        </w:rPr>
        <w:t xml:space="preserve">3、政策功能</w:t>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参加投标的中小企业，应当提供《中小企业声明函》（“中小企业划型标准”详《关于印发中小企业划型标准规定的通知》工信部联企业〔2011〕300号）。其他详见采购文件“第三章 评标标准”。</w:t>
      </w:r>
      <w:r/>
    </w:p>
    <w:p>
      <w:pPr>
        <w:spacing w:line="46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二、采购文件</w:t>
      </w:r>
      <w:r/>
    </w:p>
    <w:p>
      <w:pPr>
        <w:ind w:firstLine="420"/>
        <w:spacing w:line="460" w:lineRule="exact"/>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 xml:space="preserve">4、采购文件组成</w:t>
      </w:r>
      <w:r/>
    </w:p>
    <w:p>
      <w:pPr>
        <w:ind w:firstLine="420"/>
        <w:spacing w:line="46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4.1 采购文件组成：</w:t>
      </w:r>
      <w:r>
        <w:rPr>
          <w:rFonts w:hint="eastAsia" w:ascii="宋体" w:hAnsi="宋体" w:cs="宋体"/>
          <w:color w:val="auto"/>
          <w:szCs w:val="21"/>
          <w:highlight w:val="none"/>
        </w:rPr>
        <w:t xml:space="preserve">投标</w:t>
      </w:r>
      <w:r>
        <w:rPr>
          <w:rFonts w:hint="eastAsia" w:ascii="宋体" w:hAnsi="宋体" w:cs="宋体"/>
          <w:color w:val="auto"/>
          <w:szCs w:val="21"/>
          <w:highlight w:val="none"/>
        </w:rPr>
        <w:t xml:space="preserve">邀请</w:t>
      </w:r>
      <w:r>
        <w:rPr>
          <w:rFonts w:hint="eastAsia" w:ascii="宋体" w:hAnsi="宋体" w:cs="宋体"/>
          <w:color w:val="auto"/>
          <w:szCs w:val="21"/>
          <w:highlight w:val="none"/>
        </w:rPr>
      </w:r>
      <w:r>
        <w:rPr>
          <w:rFonts w:hint="eastAsia" w:ascii="宋体" w:hAnsi="宋体" w:cs="宋体"/>
          <w:color w:val="auto"/>
          <w:szCs w:val="21"/>
          <w:highlight w:val="none"/>
          <w:lang w:val="zh-CN"/>
        </w:rPr>
        <w:t xml:space="preserve">、供应商须知、供应商应当提交的资格和资信证明文件、投标报价要求、投标文件编制要求、采购项目的技术规格、要求和数量、合同主要条款及合同签订方式、交货和提供服务的时间、付款条件、评标方法、评标标准、无效投标和废标条款、附件等。</w:t>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4.2 采购的最小单位是包。采购服务数量及技术要求中未分包的，供应商对要求提供的服务不得部分投标；采购服务数量及技术要求中已经分包的，应当以包为单位投标。</w:t>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4.3 采购文件如果要求供应商提交备选投标方案的，供应商可以提交备选方案；否则，备选方案将被拒绝。</w:t>
      </w:r>
      <w:r/>
    </w:p>
    <w:p>
      <w:pPr>
        <w:pStyle w:val="1013"/>
        <w:ind w:firstLine="422"/>
        <w:spacing w:line="460" w:lineRule="exact"/>
        <w:rPr>
          <w:rFonts w:hint="eastAsia" w:hAnsi="宋体"/>
          <w:b/>
          <w:color w:val="auto"/>
          <w:szCs w:val="21"/>
          <w:highlight w:val="none"/>
          <w:lang w:val="zh-CN"/>
        </w:rPr>
      </w:pPr>
      <w:r/>
      <w:bookmarkStart w:id="19" w:name="_Toc19198"/>
      <w:r/>
      <w:bookmarkStart w:id="20" w:name="_Toc27071"/>
      <w:r>
        <w:rPr>
          <w:rFonts w:hint="eastAsia" w:hAnsi="宋体"/>
          <w:b/>
          <w:color w:val="auto"/>
          <w:szCs w:val="21"/>
          <w:highlight w:val="none"/>
          <w:lang w:val="zh-CN"/>
        </w:rPr>
        <w:t xml:space="preserve">5、采购文件的澄清、修改</w:t>
      </w:r>
      <w:bookmarkEnd w:id="19"/>
      <w:r/>
      <w:bookmarkEnd w:id="20"/>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5.1 采购代理机构对已发出的采购文件进行必要澄清或者修改的，将在采购文件要求提交投标文件截止时间</w:t>
      </w:r>
      <w:r>
        <w:rPr>
          <w:rFonts w:hint="eastAsia" w:ascii="宋体" w:hAnsi="宋体" w:cs="宋体"/>
          <w:b/>
          <w:bCs/>
          <w:iCs/>
          <w:color w:val="auto"/>
          <w:szCs w:val="21"/>
          <w:highlight w:val="none"/>
          <w:u w:val="single"/>
          <w:lang w:val="zh-CN"/>
        </w:rPr>
        <w:t xml:space="preserve">十五日</w:t>
      </w:r>
      <w:r>
        <w:rPr>
          <w:rFonts w:hint="eastAsia" w:ascii="宋体" w:hAnsi="宋体" w:cs="宋体"/>
          <w:color w:val="auto"/>
          <w:szCs w:val="21"/>
          <w:highlight w:val="none"/>
          <w:lang w:val="zh-CN"/>
        </w:rPr>
        <w:t xml:space="preserve">前，在原采购公告媒体发布更正公告，该澄清或者修改的内容为采购文件的组成部分。</w:t>
      </w:r>
      <w:r/>
    </w:p>
    <w:p>
      <w:pPr>
        <w:ind w:firstLine="420"/>
        <w:spacing w:line="46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5.2 采购代理机构在采购文件要求提交投标文件截止时间前，有权决定延长投标截止时间和开标时间，并</w:t>
      </w:r>
      <w:r>
        <w:rPr>
          <w:rFonts w:hint="eastAsia" w:ascii="宋体" w:hAnsi="宋体" w:cs="宋体"/>
          <w:color w:val="auto"/>
          <w:szCs w:val="21"/>
          <w:highlight w:val="none"/>
        </w:rPr>
        <w:t xml:space="preserve">在原采购信息发布媒体上发布变更公告。</w:t>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.3 供应商应在投标截止时间前关注</w:t>
      </w:r>
      <w:r>
        <w:rPr>
          <w:rFonts w:hint="eastAsia" w:ascii="宋体" w:hAnsi="宋体" w:cs="宋体"/>
          <w:color w:val="auto"/>
          <w:szCs w:val="21"/>
          <w:highlight w:val="none"/>
        </w:rPr>
        <w:t xml:space="preserve">原采购信息发布媒体上</w:t>
      </w:r>
      <w:r>
        <w:rPr>
          <w:rFonts w:hint="eastAsia" w:ascii="宋体" w:hAnsi="宋体" w:cs="宋体"/>
          <w:color w:val="auto"/>
          <w:szCs w:val="21"/>
          <w:highlight w:val="none"/>
          <w:lang w:val="zh-CN"/>
        </w:rPr>
        <w:t xml:space="preserve">有关本采购项目有无变更公告。</w:t>
      </w:r>
      <w:r/>
    </w:p>
    <w:p>
      <w:pPr>
        <w:spacing w:line="460" w:lineRule="exact"/>
        <w:rPr>
          <w:rFonts w:hint="eastAsia" w:ascii="宋体" w:hAnsi="宋体" w:cs="宋体"/>
          <w:b/>
          <w:color w:val="auto"/>
          <w:szCs w:val="21"/>
          <w:highlight w:val="none"/>
        </w:rPr>
      </w:pPr>
      <w:r/>
      <w:bookmarkStart w:id="21" w:name="_Toc19187"/>
      <w:r/>
      <w:bookmarkStart w:id="22" w:name="_Toc31483"/>
      <w:r>
        <w:rPr>
          <w:rFonts w:hint="eastAsia" w:ascii="宋体" w:hAnsi="宋体" w:cs="宋体"/>
          <w:b/>
          <w:color w:val="auto"/>
          <w:szCs w:val="21"/>
          <w:highlight w:val="none"/>
        </w:rPr>
        <w:t xml:space="preserve">三、投标</w:t>
      </w:r>
      <w:bookmarkEnd w:id="21"/>
      <w:r/>
      <w:bookmarkEnd w:id="22"/>
      <w:r/>
      <w:r/>
    </w:p>
    <w:p>
      <w:pPr>
        <w:ind w:firstLine="420"/>
        <w:spacing w:line="46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6、投标文件的语言、计量单位、货币和编制</w:t>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6.1 供应商提交的投标文件、技术文件和资料，以及供应商与采购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6.2 供应商所使用的计量单位应为国家法定计量单位。</w:t>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6.3 供应商应用人民币报价。</w:t>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6.4 供应商应在投标文件中写清相应的项目编号、项目名称、供应商全称、地址、电话、传真等。</w:t>
      </w:r>
      <w:r/>
    </w:p>
    <w:p>
      <w:pPr>
        <w:ind w:firstLine="420"/>
        <w:spacing w:line="460" w:lineRule="exact"/>
        <w:rPr>
          <w:rFonts w:hint="eastAsia" w:ascii="宋体" w:hAnsi="宋体" w:cs="宋体"/>
          <w:b/>
          <w:bCs/>
          <w:color w:val="auto"/>
          <w:szCs w:val="21"/>
          <w:highlight w:val="none"/>
          <w:lang w:val="zh-CN"/>
        </w:rPr>
      </w:pPr>
      <w:r>
        <w:rPr>
          <w:rFonts w:hint="eastAsia" w:ascii="宋体" w:hAnsi="宋体" w:cs="宋体"/>
          <w:color w:val="auto"/>
          <w:szCs w:val="21"/>
          <w:highlight w:val="none"/>
          <w:lang w:val="zh-CN"/>
        </w:rPr>
        <w:t xml:space="preserve">7</w:t>
      </w:r>
      <w:r>
        <w:rPr>
          <w:rFonts w:hint="eastAsia" w:ascii="宋体" w:hAnsi="宋体" w:cs="宋体"/>
          <w:b/>
          <w:bCs/>
          <w:color w:val="auto"/>
          <w:szCs w:val="21"/>
          <w:highlight w:val="none"/>
          <w:lang w:val="zh-CN"/>
        </w:rPr>
        <w:t xml:space="preserve">、联合体投标</w:t>
      </w:r>
      <w:r/>
    </w:p>
    <w:p>
      <w:pPr>
        <w:ind w:firstLine="420"/>
        <w:spacing w:line="460" w:lineRule="exact"/>
        <w:rPr>
          <w:rFonts w:hint="eastAsia" w:ascii="宋体" w:hAnsi="宋体" w:cs="宋体"/>
          <w:b/>
          <w:bCs/>
          <w:color w:val="auto"/>
          <w:szCs w:val="21"/>
          <w:highlight w:val="none"/>
          <w:lang w:val="zh-CN"/>
        </w:rPr>
      </w:pPr>
      <w:r>
        <w:rPr>
          <w:rFonts w:hint="eastAsia" w:ascii="宋体" w:hAnsi="宋体" w:cs="宋体"/>
          <w:color w:val="auto"/>
          <w:szCs w:val="21"/>
          <w:highlight w:val="none"/>
        </w:rPr>
        <w:t xml:space="preserve">7.1 本项目不接受联合体投标。</w:t>
      </w:r>
      <w:r/>
    </w:p>
    <w:p>
      <w:pPr>
        <w:pStyle w:val="1013"/>
        <w:ind w:firstLine="420"/>
        <w:spacing w:line="460" w:lineRule="exact"/>
        <w:rPr>
          <w:rFonts w:hint="eastAsia" w:hAnsi="宋体"/>
          <w:b/>
          <w:color w:val="auto"/>
          <w:szCs w:val="21"/>
          <w:highlight w:val="none"/>
          <w:lang w:val="zh-CN"/>
        </w:rPr>
      </w:pPr>
      <w:r/>
      <w:bookmarkStart w:id="23" w:name="_Toc15094"/>
      <w:r/>
      <w:bookmarkStart w:id="24" w:name="_Toc5169"/>
      <w:r>
        <w:rPr>
          <w:rFonts w:hint="eastAsia" w:hAnsi="宋体"/>
          <w:b/>
          <w:color w:val="auto"/>
          <w:szCs w:val="21"/>
          <w:highlight w:val="none"/>
          <w:lang w:val="zh-CN"/>
        </w:rPr>
        <w:t xml:space="preserve">8、投标费用</w:t>
      </w:r>
      <w:bookmarkEnd w:id="23"/>
      <w:r/>
      <w:bookmarkEnd w:id="24"/>
      <w:r/>
      <w:r/>
    </w:p>
    <w:p>
      <w:pPr>
        <w:ind w:firstLine="420"/>
        <w:spacing w:line="460" w:lineRule="exact"/>
        <w:shd w:val="clear" w:color="auto" w:fill="ffffff"/>
        <w:rPr>
          <w:rFonts w:hint="eastAsia" w:ascii="宋体" w:hAnsi="宋体" w:cs="Trebuchet MS"/>
          <w:bCs/>
          <w:color w:val="auto"/>
          <w:szCs w:val="21"/>
          <w:highlight w:val="none"/>
        </w:rPr>
      </w:pPr>
      <w:r>
        <w:rPr>
          <w:rFonts w:hint="eastAsia" w:ascii="宋体" w:hAnsi="宋体" w:cs="宋体"/>
          <w:color w:val="auto"/>
          <w:szCs w:val="21"/>
          <w:highlight w:val="none"/>
          <w:lang w:val="zh-CN"/>
        </w:rPr>
        <w:t xml:space="preserve">8.1 供应商应自行承担所有与准备和参加投标有关的费用，</w:t>
      </w:r>
      <w:r>
        <w:rPr>
          <w:rFonts w:hint="eastAsia" w:ascii="宋体" w:hAnsi="宋体" w:cs="Trebuchet MS"/>
          <w:bCs/>
          <w:color w:val="auto"/>
          <w:szCs w:val="21"/>
          <w:highlight w:val="none"/>
          <w:lang w:val="zh-CN"/>
        </w:rPr>
        <w:t xml:space="preserve">无论采购结果如何，采购代理机构和采购单位在任何情况下均无义务和责任承担这些费用。</w:t>
      </w:r>
      <w:r/>
    </w:p>
    <w:p>
      <w:pPr>
        <w:ind w:firstLine="420"/>
        <w:spacing w:line="460" w:lineRule="exact"/>
        <w:rPr>
          <w:rFonts w:hint="eastAsia" w:ascii="宋体" w:hAnsi="宋体" w:cs="宋体"/>
          <w:b/>
          <w:bCs/>
          <w:strike/>
          <w:color w:val="auto"/>
          <w:szCs w:val="21"/>
          <w:highlight w:val="none"/>
        </w:rPr>
      </w:pPr>
      <w:r>
        <w:rPr>
          <w:rFonts w:hint="eastAsia" w:ascii="宋体" w:hAnsi="宋体" w:cs="宋体"/>
          <w:b/>
          <w:bCs/>
          <w:color w:val="auto"/>
          <w:szCs w:val="21"/>
          <w:highlight w:val="none"/>
          <w:lang w:val="zh-CN"/>
        </w:rPr>
        <w:t xml:space="preserve">8.2 </w:t>
      </w:r>
      <w:r>
        <w:rPr>
          <w:rFonts w:hint="eastAsia" w:ascii="宋体" w:hAnsi="宋体" w:cs="宋体"/>
          <w:b/>
          <w:bCs/>
          <w:color w:val="auto"/>
          <w:szCs w:val="21"/>
          <w:highlight w:val="none"/>
        </w:rPr>
        <w:t xml:space="preserve">招标代理费以中标金额为基数，按《江苏省招标代理服务收费的指导意见》苏招协〔2022〕002号文收费标准的70%计取，上述费用均由</w:t>
      </w:r>
      <w:r>
        <w:rPr>
          <w:rFonts w:hint="eastAsia" w:ascii="宋体" w:hAnsi="宋体" w:cs="宋体"/>
          <w:b/>
          <w:bCs/>
          <w:color w:val="auto"/>
          <w:szCs w:val="21"/>
          <w:highlight w:val="none"/>
          <w:lang w:val="en-US" w:eastAsia="zh-CN"/>
        </w:rPr>
        <w:t xml:space="preserve">中标</w:t>
      </w:r>
      <w:r>
        <w:rPr>
          <w:rFonts w:hint="eastAsia" w:ascii="宋体" w:hAnsi="宋体" w:cs="宋体"/>
          <w:b/>
          <w:bCs/>
          <w:color w:val="auto"/>
          <w:szCs w:val="21"/>
          <w:highlight w:val="none"/>
        </w:rPr>
        <w:t xml:space="preserve">供应商一次性支付。</w:t>
      </w:r>
      <w:r/>
    </w:p>
    <w:p>
      <w:pPr>
        <w:ind w:firstLine="420"/>
        <w:spacing w:line="46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9、投标文件组成</w:t>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9.1 </w:t>
      </w:r>
      <w:r>
        <w:rPr>
          <w:rFonts w:hint="eastAsia" w:ascii="宋体" w:hAnsi="宋体" w:cs="宋体"/>
          <w:color w:val="auto"/>
          <w:szCs w:val="21"/>
          <w:highlight w:val="none"/>
        </w:rPr>
        <w:t xml:space="preserve">供应商应当根据采购文件要求编制投标文件，投标文件应对采购文件提出的要求和条件作出实质性响应，并在</w:t>
      </w:r>
      <w:r>
        <w:rPr>
          <w:rFonts w:hint="eastAsia" w:ascii="宋体" w:hAnsi="宋体" w:cs="宋体"/>
          <w:color w:val="auto"/>
          <w:szCs w:val="21"/>
          <w:highlight w:val="none"/>
          <w:lang w:val="zh-CN"/>
        </w:rPr>
        <w:t xml:space="preserve">《商务条款偏离表》和《技术条款偏离表》等处</w:t>
      </w:r>
      <w:r>
        <w:rPr>
          <w:rFonts w:hint="eastAsia" w:ascii="宋体" w:hAnsi="宋体" w:cs="宋体"/>
          <w:color w:val="auto"/>
          <w:szCs w:val="21"/>
          <w:highlight w:val="none"/>
        </w:rPr>
        <w:t xml:space="preserve">逐条标明满足与否。</w:t>
      </w:r>
      <w:r/>
    </w:p>
    <w:p>
      <w:pPr>
        <w:ind w:firstLine="412"/>
        <w:spacing w:line="460" w:lineRule="exact"/>
        <w:rPr>
          <w:rFonts w:hint="eastAsia" w:ascii="宋体" w:hAnsi="宋体" w:cs="宋体"/>
          <w:b/>
          <w:color w:val="auto"/>
          <w:szCs w:val="21"/>
          <w:highlight w:val="none"/>
        </w:rPr>
      </w:pPr>
      <w:r>
        <w:rPr>
          <w:rFonts w:hint="eastAsia" w:ascii="宋体" w:hAnsi="宋体" w:cs="宋体"/>
          <w:color w:val="auto"/>
          <w:szCs w:val="21"/>
          <w:highlight w:val="none"/>
          <w:lang w:val="zh-CN"/>
        </w:rPr>
        <w:t xml:space="preserve">9.2 供应商根据采购文件载明的标的采购项目实际情况，拟在中标后将中标项目的非主体、非关键性工作交由他人完成的，应当在投标文件中载明。</w:t>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rPr>
        <w:t xml:space="preserve">9</w:t>
      </w:r>
      <w:r>
        <w:rPr>
          <w:rFonts w:hint="eastAsia" w:ascii="宋体" w:hAnsi="宋体" w:cs="宋体"/>
          <w:color w:val="auto"/>
          <w:szCs w:val="21"/>
          <w:highlight w:val="none"/>
          <w:lang w:val="zh-CN"/>
        </w:rPr>
        <w:t xml:space="preserve">.3 上传的投标文件由商务部分、技术部分、价格部分，以及其他部分组成</w:t>
      </w:r>
      <w:r>
        <w:rPr>
          <w:rFonts w:hint="eastAsia" w:ascii="宋体" w:hAnsi="宋体" w:cs="Trebuchet MS"/>
          <w:bCs/>
          <w:color w:val="auto"/>
          <w:szCs w:val="21"/>
          <w:highlight w:val="none"/>
        </w:rPr>
        <w:t xml:space="preserve">。（</w:t>
      </w:r>
      <w:r>
        <w:rPr>
          <w:rFonts w:hint="eastAsia" w:ascii="宋体" w:hAnsi="宋体" w:cs="宋体"/>
          <w:color w:val="auto"/>
          <w:szCs w:val="21"/>
          <w:highlight w:val="none"/>
          <w:lang w:val="zh-CN"/>
        </w:rPr>
        <w:t xml:space="preserve">投标文件应按采购文件要求签署、盖章或加盖电子公章</w:t>
      </w:r>
      <w:r>
        <w:rPr>
          <w:rFonts w:hint="eastAsia" w:ascii="宋体" w:hAnsi="宋体" w:cs="Trebuchet MS"/>
          <w:bCs/>
          <w:color w:val="auto"/>
          <w:szCs w:val="21"/>
          <w:highlight w:val="none"/>
        </w:rPr>
        <w:t xml:space="preserve">）</w:t>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9</w:t>
      </w:r>
      <w:r>
        <w:rPr>
          <w:rFonts w:ascii="宋体" w:hAnsi="宋体" w:cs="宋体"/>
          <w:color w:val="auto"/>
          <w:szCs w:val="21"/>
          <w:highlight w:val="none"/>
          <w:lang w:val="zh-CN"/>
        </w:rPr>
        <w:t xml:space="preserve">.4 </w:t>
      </w:r>
      <w:r>
        <w:rPr>
          <w:rFonts w:hint="eastAsia" w:ascii="宋体" w:hAnsi="宋体" w:cs="宋体"/>
          <w:color w:val="auto"/>
          <w:szCs w:val="21"/>
          <w:highlight w:val="none"/>
          <w:lang w:val="zh-CN"/>
        </w:rPr>
        <w:t xml:space="preserve">如标书制作工具中格式和内容与“江苏政府采购网”发布的采购文件不一致，以“江苏政府采购网”发布的采购文件为准。</w:t>
      </w:r>
      <w:r/>
    </w:p>
    <w:p>
      <w:pPr>
        <w:ind w:firstLine="422"/>
        <w:spacing w:line="46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10、投标文件的商务部分</w:t>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10.1 商务部分是证明供应商有资格参加投标和中标后有能力履行合同的文件，</w:t>
      </w:r>
      <w:r>
        <w:rPr>
          <w:rFonts w:hint="eastAsia" w:ascii="宋体" w:hAnsi="宋体" w:cs="宋体"/>
          <w:color w:val="auto"/>
          <w:szCs w:val="21"/>
          <w:highlight w:val="none"/>
        </w:rPr>
        <w:t xml:space="preserve">这些文件应能满足采购的要求</w:t>
      </w:r>
      <w:r>
        <w:rPr>
          <w:rFonts w:hint="eastAsia" w:ascii="宋体" w:hAnsi="宋体" w:cs="宋体"/>
          <w:color w:val="auto"/>
          <w:szCs w:val="21"/>
          <w:highlight w:val="none"/>
          <w:lang w:val="zh-CN"/>
        </w:rPr>
        <w:t xml:space="preserve">，包括但不限于下列文件，其中加</w:t>
      </w:r>
      <w:r>
        <w:rPr>
          <w:rFonts w:hint="eastAsia" w:ascii="宋体" w:hAnsi="宋体" w:cs="宋体"/>
          <w:b/>
          <w:color w:val="auto"/>
          <w:szCs w:val="21"/>
          <w:highlight w:val="none"/>
        </w:rPr>
        <w:t xml:space="preserve">“★”</w:t>
      </w:r>
      <w:r>
        <w:rPr>
          <w:rFonts w:hint="eastAsia" w:ascii="宋体" w:hAnsi="宋体" w:cs="宋体"/>
          <w:color w:val="auto"/>
          <w:szCs w:val="21"/>
          <w:highlight w:val="none"/>
          <w:lang w:val="zh-CN"/>
        </w:rPr>
        <w:t xml:space="preserve">项目不得有缺失或无效。</w:t>
      </w:r>
      <w:r/>
    </w:p>
    <w:p>
      <w:pPr>
        <w:ind w:firstLine="420"/>
        <w:jc w:val="left"/>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w:t>
      </w:r>
      <w:r>
        <w:rPr>
          <w:rFonts w:hint="eastAsia" w:ascii="宋体" w:hAnsi="宋体" w:cs="宋体"/>
          <w:b/>
          <w:color w:val="auto"/>
          <w:szCs w:val="21"/>
          <w:highlight w:val="none"/>
        </w:rPr>
        <w:t xml:space="preserve">★</w:t>
      </w:r>
      <w:r>
        <w:rPr>
          <w:rFonts w:hint="eastAsia" w:ascii="宋体" w:hAnsi="宋体" w:cs="宋体"/>
          <w:color w:val="auto"/>
          <w:szCs w:val="21"/>
          <w:highlight w:val="none"/>
          <w:lang w:val="zh-CN"/>
        </w:rPr>
        <w:t xml:space="preserve">投标</w:t>
      </w:r>
      <w:r>
        <w:rPr>
          <w:rFonts w:hint="eastAsia" w:ascii="宋体" w:hAnsi="宋体" w:cs="宋体"/>
          <w:color w:val="auto"/>
          <w:szCs w:val="21"/>
          <w:highlight w:val="none"/>
        </w:rPr>
        <w:t xml:space="preserve">函</w:t>
      </w:r>
      <w:r>
        <w:rPr>
          <w:rFonts w:hint="eastAsia" w:ascii="宋体" w:hAnsi="宋体" w:cs="宋体"/>
          <w:color w:val="auto"/>
          <w:szCs w:val="21"/>
          <w:highlight w:val="none"/>
          <w:lang w:val="zh-CN"/>
        </w:rPr>
        <w:t xml:space="preserve">；</w:t>
      </w:r>
      <w:r/>
    </w:p>
    <w:p>
      <w:pPr>
        <w:ind w:firstLine="420"/>
        <w:jc w:val="left"/>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w:t>
      </w:r>
      <w:r>
        <w:rPr>
          <w:rFonts w:hint="eastAsia" w:ascii="宋体" w:hAnsi="宋体" w:cs="宋体"/>
          <w:b/>
          <w:color w:val="auto"/>
          <w:szCs w:val="21"/>
          <w:highlight w:val="none"/>
        </w:rPr>
        <w:t xml:space="preserve">★</w:t>
      </w:r>
      <w:r>
        <w:rPr>
          <w:rFonts w:hint="eastAsia" w:ascii="宋体" w:hAnsi="宋体" w:cs="宋体"/>
          <w:color w:val="auto"/>
          <w:szCs w:val="21"/>
          <w:highlight w:val="none"/>
          <w:lang w:val="zh-CN"/>
        </w:rPr>
        <w:t xml:space="preserve">法定代表人授权委托书；</w:t>
      </w:r>
      <w:r/>
    </w:p>
    <w:p>
      <w:pPr>
        <w:ind w:firstLine="420"/>
        <w:jc w:val="left"/>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（3）</w:t>
      </w: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开标一览</w:t>
      </w:r>
      <w:r>
        <w:rPr>
          <w:rFonts w:hint="eastAsia" w:ascii="宋体" w:hAnsi="宋体" w:cs="宋体"/>
          <w:color w:val="auto"/>
          <w:szCs w:val="21"/>
          <w:highlight w:val="none"/>
          <w:lang w:val="zh-CN"/>
        </w:rPr>
        <w:t xml:space="preserve">表；</w:t>
      </w:r>
      <w:r/>
    </w:p>
    <w:p>
      <w:pPr>
        <w:ind w:firstLine="420"/>
        <w:jc w:val="left"/>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（4）</w:t>
      </w:r>
      <w:r>
        <w:rPr>
          <w:rFonts w:hint="eastAsia" w:ascii="宋体" w:hAnsi="宋体" w:cs="宋体"/>
          <w:b/>
          <w:color w:val="auto"/>
          <w:szCs w:val="21"/>
          <w:highlight w:val="none"/>
        </w:rPr>
        <w:t xml:space="preserve">★</w:t>
      </w:r>
      <w:r>
        <w:rPr>
          <w:rFonts w:hint="eastAsia" w:ascii="宋体" w:hAnsi="宋体" w:cs="宋体"/>
          <w:color w:val="auto"/>
          <w:szCs w:val="21"/>
          <w:highlight w:val="none"/>
          <w:lang w:val="zh-CN"/>
        </w:rPr>
        <w:t xml:space="preserve">第一章投标邀请中《中华人民共和国政府采购法》规定的</w:t>
      </w:r>
      <w:bookmarkStart w:id="25" w:name="_Hlk184886413"/>
      <w:r>
        <w:rPr>
          <w:rFonts w:hint="eastAsia" w:ascii="宋体" w:hAnsi="宋体" w:cs="宋体"/>
          <w:color w:val="auto"/>
          <w:szCs w:val="21"/>
          <w:highlight w:val="none"/>
          <w:lang w:val="zh-CN"/>
        </w:rPr>
        <w:t xml:space="preserve">资格条件证明文件</w:t>
      </w:r>
      <w:bookmarkEnd w:id="25"/>
      <w:r>
        <w:rPr>
          <w:rFonts w:hint="eastAsia" w:ascii="宋体" w:hAnsi="宋体" w:cs="宋体"/>
          <w:color w:val="auto"/>
          <w:szCs w:val="21"/>
          <w:highlight w:val="none"/>
          <w:lang w:val="zh-CN"/>
        </w:rPr>
        <w:t xml:space="preserve">；</w:t>
      </w:r>
      <w:r/>
    </w:p>
    <w:p>
      <w:pPr>
        <w:ind w:firstLine="420"/>
        <w:jc w:val="left"/>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（5）</w:t>
      </w:r>
      <w:r>
        <w:rPr>
          <w:rFonts w:hint="eastAsia" w:ascii="宋体" w:hAnsi="宋体" w:cs="宋体"/>
          <w:b/>
          <w:color w:val="auto"/>
          <w:szCs w:val="21"/>
          <w:highlight w:val="none"/>
        </w:rPr>
        <w:t xml:space="preserve">★</w:t>
      </w:r>
      <w:r>
        <w:rPr>
          <w:rFonts w:hint="eastAsia" w:ascii="宋体" w:hAnsi="宋体" w:cs="宋体"/>
          <w:color w:val="auto"/>
          <w:szCs w:val="21"/>
          <w:highlight w:val="none"/>
          <w:lang w:val="zh-CN"/>
        </w:rPr>
        <w:t xml:space="preserve">第一章投标邀请中采购人根据采购项目的特殊要求规定的特定条件证明文件；（如有的话）</w:t>
      </w:r>
      <w:r/>
    </w:p>
    <w:p>
      <w:pPr>
        <w:ind w:firstLine="420"/>
        <w:jc w:val="left"/>
        <w:spacing w:line="460" w:lineRule="exact"/>
        <w:widowControl/>
        <w:rPr>
          <w:rFonts w:hint="eastAsia" w:ascii="宋体" w:hAnsi="宋体" w:cs="宋体"/>
          <w:b/>
          <w:color w:val="auto"/>
          <w:szCs w:val="21"/>
          <w:highlight w:val="none"/>
        </w:rPr>
      </w:pPr>
      <w:r>
        <w:rPr>
          <w:rFonts w:hint="eastAsia" w:ascii="宋体" w:hAnsi="宋体" w:cs="宋体"/>
          <w:color w:val="auto"/>
          <w:szCs w:val="21"/>
          <w:highlight w:val="none"/>
          <w:lang w:val="zh-CN"/>
        </w:rPr>
        <w:t xml:space="preserve">（6）</w:t>
      </w:r>
      <w:r>
        <w:rPr>
          <w:rFonts w:hint="eastAsia" w:ascii="宋体" w:hAnsi="宋体" w:cs="宋体"/>
          <w:b/>
          <w:color w:val="auto"/>
          <w:szCs w:val="21"/>
          <w:highlight w:val="none"/>
        </w:rPr>
        <w:t xml:space="preserve">★</w:t>
      </w:r>
      <w:r>
        <w:rPr>
          <w:rFonts w:hint="eastAsia" w:ascii="宋体" w:hAnsi="宋体" w:cs="宋体"/>
          <w:bCs/>
          <w:color w:val="auto"/>
          <w:szCs w:val="21"/>
          <w:highlight w:val="none"/>
        </w:rPr>
        <w:t xml:space="preserve">《南京市政府采购供应商信用记录表暨信用承诺书》</w:t>
      </w:r>
      <w:r/>
    </w:p>
    <w:p>
      <w:pPr>
        <w:ind w:firstLine="420"/>
        <w:jc w:val="left"/>
        <w:spacing w:line="460" w:lineRule="exact"/>
        <w:widowControl/>
        <w:rPr>
          <w:rFonts w:hint="eastAsia" w:ascii="宋体" w:hAnsi="宋体" w:cs="宋体"/>
          <w:b/>
          <w:color w:val="auto"/>
          <w:szCs w:val="21"/>
          <w:highlight w:val="none"/>
          <w:lang w:val="zh-CN"/>
        </w:rPr>
      </w:pPr>
      <w:r>
        <w:rPr>
          <w:rFonts w:hint="eastAsia" w:ascii="宋体" w:hAnsi="宋体" w:cs="宋体"/>
          <w:b/>
          <w:color w:val="auto"/>
          <w:szCs w:val="21"/>
          <w:highlight w:val="none"/>
        </w:rPr>
        <w:t xml:space="preserve">注：本表打印时间必须在采购文件发布之日起至提交投标文件截止日前。</w:t>
      </w:r>
      <w:r/>
    </w:p>
    <w:p>
      <w:pPr>
        <w:ind w:firstLine="420"/>
        <w:jc w:val="left"/>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（7）</w:t>
      </w:r>
      <w:r>
        <w:rPr>
          <w:rFonts w:hint="eastAsia" w:ascii="宋体" w:hAnsi="宋体" w:cs="宋体"/>
          <w:b/>
          <w:color w:val="auto"/>
          <w:szCs w:val="21"/>
          <w:highlight w:val="none"/>
        </w:rPr>
        <w:t xml:space="preserve">★</w:t>
      </w:r>
      <w:r>
        <w:rPr>
          <w:rFonts w:hint="eastAsia" w:ascii="宋体" w:hAnsi="宋体" w:cs="宋体"/>
          <w:color w:val="auto"/>
          <w:szCs w:val="21"/>
          <w:highlight w:val="none"/>
          <w:lang w:val="zh-CN"/>
        </w:rPr>
        <w:t xml:space="preserve">商务条款偏离表；</w:t>
      </w:r>
      <w:r/>
    </w:p>
    <w:p>
      <w:pPr>
        <w:ind w:firstLine="420"/>
        <w:jc w:val="left"/>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（8）承担过类似业绩情况（格式自拟）；</w:t>
      </w:r>
      <w:r/>
    </w:p>
    <w:p>
      <w:pPr>
        <w:ind w:firstLine="420"/>
        <w:jc w:val="left"/>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（9）中小企业声明函格式（如有）；</w:t>
      </w:r>
      <w:r/>
    </w:p>
    <w:p>
      <w:pPr>
        <w:ind w:firstLine="420"/>
        <w:jc w:val="left"/>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（10）</w:t>
      </w:r>
      <w:r>
        <w:rPr>
          <w:rFonts w:hint="eastAsia" w:ascii="宋体" w:hAnsi="宋体" w:cs="宋体"/>
          <w:b/>
          <w:color w:val="auto"/>
          <w:szCs w:val="21"/>
          <w:highlight w:val="none"/>
        </w:rPr>
        <w:t xml:space="preserve">★</w:t>
      </w:r>
      <w:r>
        <w:rPr>
          <w:rFonts w:hint="eastAsia" w:ascii="宋体" w:hAnsi="宋体" w:cs="宋体"/>
          <w:color w:val="auto"/>
          <w:szCs w:val="21"/>
          <w:highlight w:val="none"/>
          <w:lang w:val="zh-CN"/>
        </w:rPr>
        <w:t xml:space="preserve">无重大违法记录声明；</w:t>
      </w:r>
      <w:r/>
    </w:p>
    <w:p>
      <w:pPr>
        <w:ind w:firstLine="420"/>
        <w:jc w:val="left"/>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（11）残疾人福利性单位声明函（如有）；</w:t>
      </w:r>
      <w:r/>
    </w:p>
    <w:p>
      <w:pPr>
        <w:ind w:firstLine="420"/>
        <w:jc w:val="left"/>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（12）属于监狱企业的证明文件（如有）；</w:t>
      </w:r>
      <w:r/>
    </w:p>
    <w:p>
      <w:pPr>
        <w:ind w:firstLine="420"/>
        <w:jc w:val="left"/>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w:t>
      </w: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）投标供应商认为需提供的其他资料；</w:t>
      </w:r>
      <w:r/>
    </w:p>
    <w:p>
      <w:pPr>
        <w:ind w:firstLine="420"/>
        <w:spacing w:line="46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11、投标文件的技术部分</w:t>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11.1 技术部分是证明</w:t>
      </w:r>
      <w:r>
        <w:rPr>
          <w:rFonts w:hint="eastAsia" w:ascii="宋体" w:hAnsi="宋体" w:cs="宋体"/>
          <w:color w:val="auto"/>
          <w:szCs w:val="21"/>
          <w:highlight w:val="none"/>
        </w:rPr>
        <w:t xml:space="preserve">供应商提供的产品和服务是合格的、并符合采购文件要求的证明文件，以及</w:t>
      </w:r>
      <w:r>
        <w:rPr>
          <w:rFonts w:hint="eastAsia" w:ascii="宋体" w:hAnsi="宋体" w:cs="宋体"/>
          <w:color w:val="auto"/>
          <w:szCs w:val="21"/>
          <w:highlight w:val="none"/>
          <w:lang w:val="zh-CN"/>
        </w:rPr>
        <w:t xml:space="preserve">对</w:t>
      </w:r>
      <w:r>
        <w:rPr>
          <w:rFonts w:hint="eastAsia" w:ascii="宋体" w:hAnsi="宋体" w:cs="宋体"/>
          <w:color w:val="auto"/>
          <w:szCs w:val="21"/>
          <w:highlight w:val="none"/>
        </w:rPr>
        <w:t xml:space="preserve">开标一览</w:t>
      </w:r>
      <w:r>
        <w:rPr>
          <w:rFonts w:hint="eastAsia" w:ascii="宋体" w:hAnsi="宋体" w:cs="宋体"/>
          <w:color w:val="auto"/>
          <w:szCs w:val="21"/>
          <w:highlight w:val="none"/>
          <w:lang w:val="zh-CN"/>
        </w:rPr>
        <w:t xml:space="preserve">表中的服务的详细说明，这些文件可以是文字资料、图纸和数据等。</w:t>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11.2 若技术性能无特殊说明，则按国家有关部门最新颁布的标准及规范为准。</w:t>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11.3 提供的服务如与采购文件要求有不符之处，应说明其差别之所在，并在《技术条款偏离表》中逐条予以说明。</w:t>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11.4 投标文件应按照采购文件要求提供技术资料、文件和有关证明，包括但不限于其中加</w:t>
      </w:r>
      <w:r>
        <w:rPr>
          <w:rFonts w:hint="eastAsia" w:ascii="宋体" w:hAnsi="宋体" w:cs="宋体"/>
          <w:b/>
          <w:color w:val="auto"/>
          <w:szCs w:val="21"/>
          <w:highlight w:val="none"/>
        </w:rPr>
        <w:t xml:space="preserve">“★”</w:t>
      </w:r>
      <w:r>
        <w:rPr>
          <w:rFonts w:hint="eastAsia" w:ascii="宋体" w:hAnsi="宋体" w:cs="宋体"/>
          <w:color w:val="auto"/>
          <w:szCs w:val="21"/>
          <w:highlight w:val="none"/>
          <w:lang w:val="zh-CN"/>
        </w:rPr>
        <w:t xml:space="preserve">项目不得有缺失或无效：</w:t>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w:t>
      </w:r>
      <w:r>
        <w:rPr>
          <w:rFonts w:hint="eastAsia" w:ascii="宋体" w:hAnsi="宋体" w:cs="宋体"/>
          <w:color w:val="auto"/>
          <w:szCs w:val="21"/>
          <w:highlight w:val="none"/>
        </w:rPr>
        <w:t xml:space="preserve">服务</w:t>
      </w:r>
      <w:r>
        <w:rPr>
          <w:rFonts w:hint="eastAsia" w:ascii="宋体" w:hAnsi="宋体" w:cs="宋体"/>
          <w:color w:val="auto"/>
          <w:szCs w:val="21"/>
          <w:highlight w:val="none"/>
          <w:lang w:val="zh-CN"/>
        </w:rPr>
        <w:t xml:space="preserve">方案；</w:t>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（2）★技术条款偏离表； </w:t>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（3）投标人实施本项目拟投入的专业人员一览表；</w:t>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（4）供应商认为需要提供的其他技术资料。</w:t>
      </w:r>
      <w:r/>
    </w:p>
    <w:p>
      <w:pPr>
        <w:ind w:firstLine="420"/>
        <w:spacing w:line="460" w:lineRule="exact"/>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 xml:space="preserve">12、投标文件的价格部分</w:t>
      </w:r>
      <w:r/>
    </w:p>
    <w:p>
      <w:pPr>
        <w:ind w:firstLine="420"/>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12.1 价格部分是对本项目采购标的价格构成的说明，每一项服务仅接受一个价格。</w:t>
      </w:r>
      <w:r/>
    </w:p>
    <w:p>
      <w:pPr>
        <w:ind w:firstLine="420"/>
        <w:spacing w:line="460" w:lineRule="exact"/>
        <w:rPr>
          <w:rFonts w:hint="eastAsia" w:ascii="宋体" w:hAnsi="宋体" w:cs="宋体"/>
          <w:b/>
          <w:color w:val="auto"/>
          <w:szCs w:val="21"/>
          <w:highlight w:val="none"/>
        </w:rPr>
      </w:pPr>
      <w:r>
        <w:rPr>
          <w:rFonts w:hint="eastAsia" w:ascii="宋体" w:hAnsi="宋体" w:cs="宋体"/>
          <w:color w:val="auto"/>
          <w:szCs w:val="21"/>
          <w:highlight w:val="none"/>
          <w:lang w:val="zh-CN"/>
        </w:rPr>
        <w:t xml:space="preserve">12.2</w:t>
      </w:r>
      <w:r>
        <w:rPr>
          <w:rFonts w:ascii="宋体" w:hAnsi="宋体" w:cs="宋体"/>
          <w:color w:val="auto"/>
          <w:szCs w:val="21"/>
          <w:highlight w:val="none"/>
          <w:lang w:val="zh-CN"/>
        </w:rPr>
        <w:t xml:space="preserve"> </w:t>
      </w:r>
      <w:r>
        <w:rPr>
          <w:rFonts w:hint="eastAsia" w:ascii="宋体" w:hAnsi="宋体" w:cs="宋体"/>
          <w:color w:val="auto"/>
          <w:szCs w:val="21"/>
          <w:highlight w:val="none"/>
          <w:lang w:val="zh-CN"/>
        </w:rPr>
        <w:t xml:space="preserve">投标报价包括但不限于</w:t>
      </w:r>
      <w:r>
        <w:rPr>
          <w:rFonts w:hint="eastAsia" w:ascii="宋体" w:hAnsi="宋体"/>
          <w:color w:val="auto"/>
          <w:szCs w:val="21"/>
          <w:highlight w:val="none"/>
        </w:rPr>
        <w:t xml:space="preserve">完成本项目的人工、机械、材料、维修技术、企业管理、税金、政策性文件规定及及合同包含内的所有风险、责任等各项应有费用以及供应商认为需要的其他费用等，响应供应商应根据上述因素结合清单自行考虑投标报价</w:t>
      </w:r>
      <w:r>
        <w:rPr>
          <w:rFonts w:hint="eastAsia" w:ascii="宋体" w:hAnsi="宋体" w:cs="宋体"/>
          <w:b/>
          <w:color w:val="auto"/>
          <w:szCs w:val="21"/>
          <w:highlight w:val="none"/>
        </w:rPr>
        <w:t xml:space="preserve">。</w:t>
      </w:r>
      <w:r/>
    </w:p>
    <w:p>
      <w:pPr>
        <w:ind w:firstLine="420"/>
        <w:spacing w:line="460" w:lineRule="exact"/>
        <w:rPr>
          <w:rFonts w:hint="eastAsia" w:ascii="宋体" w:hAnsi="宋体" w:cs="宋体"/>
          <w:b/>
          <w:bCs/>
          <w:color w:val="auto"/>
          <w:szCs w:val="21"/>
          <w:highlight w:val="none"/>
        </w:rPr>
      </w:pPr>
      <w:r>
        <w:rPr>
          <w:rFonts w:hint="eastAsia" w:ascii="宋体" w:hAnsi="宋体" w:cs="宋体"/>
          <w:color w:val="auto"/>
          <w:szCs w:val="21"/>
          <w:highlight w:val="none"/>
          <w:lang w:val="zh-CN"/>
        </w:rPr>
        <w:t xml:space="preserve">12.3 </w:t>
      </w:r>
      <w:r>
        <w:rPr>
          <w:rFonts w:hint="eastAsia" w:ascii="宋体" w:hAnsi="宋体" w:cs="宋体"/>
          <w:color w:val="auto"/>
          <w:szCs w:val="21"/>
          <w:highlight w:val="none"/>
        </w:rPr>
        <w:t xml:space="preserve">供应商的任何错漏、优惠、竞争性报价不得作为减轻责任、减少服务、增加收费、降低质量的理由。</w:t>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12.4 供应商应在《开标一览表》、《分项报价表》等标明提供货物和服务的单价、总价以及分项报价。供应商系小企业（含小型、微型企业），并提供本企业制造的货物、承担的工程或者服务，或者提供其他小企业制造的货物，须在《开标一览表》、《分项报价表》中注明。</w:t>
      </w:r>
      <w:r/>
    </w:p>
    <w:p>
      <w:pPr>
        <w:ind w:firstLine="420"/>
        <w:spacing w:line="460" w:lineRule="exact"/>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 xml:space="preserve">13、投标文件的其他部分</w:t>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13.1 其他部分由供应商根据编制投标文件需要提供的其他相关文件。</w:t>
      </w:r>
      <w:r/>
    </w:p>
    <w:p>
      <w:pPr>
        <w:ind w:firstLine="420"/>
        <w:spacing w:line="46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14、投标保证金</w:t>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14.1 无需提交投标保证金。</w:t>
      </w:r>
      <w:r/>
    </w:p>
    <w:p>
      <w:pPr>
        <w:ind w:firstLine="420"/>
        <w:spacing w:line="46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15、投标有效期</w:t>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15.1 自开标之日起</w:t>
      </w:r>
      <w:r>
        <w:rPr>
          <w:rFonts w:hint="eastAsia" w:ascii="宋体" w:hAnsi="宋体" w:cs="宋体"/>
          <w:b/>
          <w:bCs/>
          <w:color w:val="auto"/>
          <w:szCs w:val="21"/>
          <w:highlight w:val="none"/>
        </w:rPr>
        <w:t xml:space="preserve">90</w:t>
      </w:r>
      <w:r>
        <w:rPr>
          <w:rFonts w:hint="eastAsia" w:ascii="宋体" w:hAnsi="宋体" w:cs="宋体"/>
          <w:b/>
          <w:color w:val="auto"/>
          <w:szCs w:val="21"/>
          <w:highlight w:val="none"/>
          <w:lang w:val="zh-CN"/>
        </w:rPr>
        <w:t xml:space="preserve">天</w:t>
      </w:r>
      <w:r>
        <w:rPr>
          <w:rFonts w:hint="eastAsia" w:ascii="宋体" w:hAnsi="宋体" w:cs="宋体"/>
          <w:color w:val="auto"/>
          <w:szCs w:val="21"/>
          <w:highlight w:val="none"/>
          <w:lang w:val="zh-CN"/>
        </w:rPr>
        <w:t xml:space="preserve">内投标有效。</w:t>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15.2 在特殊情况下，在原投标有效期截止之前，采购代理机构可要求供应商同意延长投标有效期，这种要求与答复均以书面形式提交。供应商可拒绝这种要求，接受延长投标有效期的供应商将不会要求和允许修正其投标。</w:t>
      </w:r>
      <w:r/>
    </w:p>
    <w:p>
      <w:pPr>
        <w:ind w:firstLine="420"/>
        <w:spacing w:line="46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16、投标文件的签署</w:t>
      </w:r>
      <w:r/>
    </w:p>
    <w:p>
      <w:pPr>
        <w:ind w:firstLine="420"/>
        <w:spacing w:line="4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16.1 供应商应严格按照采购文件要求制作投标文件并加盖电子公章。</w:t>
      </w:r>
      <w:r/>
    </w:p>
    <w:p>
      <w:pPr>
        <w:ind w:firstLine="420"/>
        <w:spacing w:line="46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17、投标文件的提交</w:t>
      </w:r>
      <w:r/>
    </w:p>
    <w:p>
      <w:pPr>
        <w:ind w:firstLine="420"/>
        <w:jc w:val="left"/>
        <w:spacing w:line="4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17.1 供应商应当按照《操作手册》规定，在采购公告规定的提交投标文件截止时间前制作并上传投标文件。</w:t>
      </w:r>
      <w:r/>
    </w:p>
    <w:p>
      <w:pPr>
        <w:ind w:firstLine="420"/>
        <w:jc w:val="left"/>
        <w:spacing w:line="460" w:lineRule="exact"/>
        <w:rPr>
          <w:rFonts w:hint="eastAsia" w:ascii="宋体" w:hAnsi="宋体" w:cs="宋体"/>
          <w:bCs/>
          <w:color w:val="auto"/>
          <w:szCs w:val="21"/>
          <w:highlight w:val="none"/>
        </w:rPr>
      </w:pPr>
      <w:r>
        <w:rPr>
          <w:rFonts w:ascii="宋体" w:hAnsi="宋体" w:cs="宋体"/>
          <w:bCs/>
          <w:color w:val="auto"/>
          <w:szCs w:val="21"/>
          <w:highlight w:val="none"/>
        </w:rPr>
        <w:t xml:space="preserve">1</w:t>
      </w:r>
      <w:r>
        <w:rPr>
          <w:rFonts w:hint="eastAsia" w:ascii="宋体" w:hAnsi="宋体" w:cs="宋体"/>
          <w:bCs/>
          <w:color w:val="auto"/>
          <w:szCs w:val="21"/>
          <w:highlight w:val="none"/>
        </w:rPr>
        <w:t xml:space="preserve">7.2 供应商应充分考虑网络环境、网络带宽等因素可能对投标产生的影响，如因供应商自身原因造成的投标文件上传不成功的，按照本采购文件第二章第</w:t>
      </w:r>
      <w:r>
        <w:rPr>
          <w:rFonts w:ascii="宋体" w:hAnsi="宋体" w:cs="宋体"/>
          <w:bCs/>
          <w:color w:val="auto"/>
          <w:szCs w:val="21"/>
          <w:highlight w:val="none"/>
        </w:rPr>
        <w:t xml:space="preserve">21.2.</w:t>
      </w:r>
      <w:r>
        <w:rPr>
          <w:rFonts w:hint="eastAsia" w:ascii="宋体" w:hAnsi="宋体" w:cs="宋体"/>
          <w:bCs/>
          <w:color w:val="auto"/>
          <w:szCs w:val="21"/>
          <w:highlight w:val="none"/>
        </w:rPr>
        <w:t xml:space="preserve">3条规定做无效投标处理。</w:t>
      </w:r>
      <w:r/>
    </w:p>
    <w:p>
      <w:pPr>
        <w:ind w:firstLine="420"/>
        <w:spacing w:line="460" w:lineRule="exact"/>
        <w:rPr>
          <w:rFonts w:hint="eastAsia" w:ascii="宋体" w:hAnsi="宋体" w:cs="宋体"/>
          <w:bCs/>
          <w:color w:val="auto"/>
          <w:szCs w:val="21"/>
          <w:highlight w:val="none"/>
        </w:rPr>
      </w:pPr>
      <w:r>
        <w:rPr>
          <w:rFonts w:ascii="宋体" w:hAnsi="宋体" w:cs="宋体"/>
          <w:bCs/>
          <w:color w:val="auto"/>
          <w:szCs w:val="21"/>
          <w:highlight w:val="none"/>
        </w:rPr>
        <w:t xml:space="preserve">1</w:t>
      </w:r>
      <w:r>
        <w:rPr>
          <w:rFonts w:hint="eastAsia" w:ascii="宋体" w:hAnsi="宋体" w:cs="宋体"/>
          <w:bCs/>
          <w:color w:val="auto"/>
          <w:szCs w:val="21"/>
          <w:highlight w:val="none"/>
        </w:rPr>
        <w:t xml:space="preserve">7.3 采购代理机构可以按照规定，通过修改采购文件酌情延长提交投标文件截止日期，在此情况下，供应商的所有权利和义务均以延长后新的截止日期为准。</w:t>
      </w:r>
      <w:r/>
    </w:p>
    <w:p>
      <w:pPr>
        <w:ind w:firstLine="420"/>
        <w:spacing w:line="46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18、有下列情形之一的投标文件将拒收：</w:t>
      </w:r>
      <w:r/>
    </w:p>
    <w:p>
      <w:pPr>
        <w:ind w:firstLine="420"/>
        <w:spacing w:line="460" w:lineRule="exact"/>
        <w:rPr>
          <w:rFonts w:hint="eastAsia" w:ascii="宋体" w:hAnsi="宋体" w:cs="宋体"/>
          <w:bCs/>
          <w:color w:val="auto"/>
          <w:szCs w:val="21"/>
          <w:highlight w:val="none"/>
        </w:rPr>
      </w:pPr>
      <w:r>
        <w:rPr>
          <w:rFonts w:hint="eastAsia" w:ascii="宋体" w:hAnsi="宋体" w:cs="宋体"/>
          <w:color w:val="auto"/>
          <w:szCs w:val="21"/>
          <w:highlight w:val="none"/>
        </w:rPr>
        <w:t xml:space="preserve">18.1 </w:t>
      </w:r>
      <w:r>
        <w:rPr>
          <w:rFonts w:hint="eastAsia" w:ascii="宋体" w:hAnsi="宋体" w:cs="宋体"/>
          <w:color w:val="auto"/>
          <w:szCs w:val="21"/>
          <w:highlight w:val="none"/>
          <w:lang w:val="zh-CN"/>
        </w:rPr>
        <w:t xml:space="preserve">在采购文件要求提交投标文件的截止时间</w:t>
      </w:r>
      <w:r>
        <w:rPr>
          <w:rFonts w:hint="eastAsia" w:ascii="宋体" w:hAnsi="宋体" w:cs="宋体"/>
          <w:bCs/>
          <w:color w:val="auto"/>
          <w:szCs w:val="21"/>
          <w:highlight w:val="none"/>
        </w:rPr>
        <w:t xml:space="preserve">后上传的任何投标文件。</w:t>
      </w:r>
      <w:r/>
    </w:p>
    <w:p>
      <w:pPr>
        <w:ind w:firstLine="420"/>
        <w:spacing w:line="46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19、投标文件的修改和撤回</w:t>
      </w:r>
      <w:r/>
    </w:p>
    <w:p>
      <w:pPr>
        <w:ind w:firstLine="420"/>
        <w:spacing w:line="460" w:lineRule="exact"/>
        <w:rPr>
          <w:rFonts w:hint="eastAsia" w:ascii="宋体" w:hAnsi="宋体" w:cs="宋体"/>
          <w:bCs/>
          <w:color w:val="auto"/>
          <w:szCs w:val="21"/>
          <w:highlight w:val="none"/>
        </w:rPr>
      </w:pPr>
      <w:r>
        <w:rPr>
          <w:rFonts w:hint="eastAsia" w:ascii="宋体" w:hAnsi="宋体" w:cs="宋体"/>
          <w:color w:val="auto"/>
          <w:szCs w:val="21"/>
          <w:highlight w:val="none"/>
          <w:lang w:val="zh-CN"/>
        </w:rPr>
        <w:t xml:space="preserve">19.1 供应商在投标截止时间前，可以对所提交的投标文件进行补充、修改或撤回</w:t>
      </w:r>
      <w:r>
        <w:rPr>
          <w:rFonts w:hint="eastAsia" w:ascii="宋体" w:hAnsi="宋体" w:cs="宋体"/>
          <w:bCs/>
          <w:color w:val="auto"/>
          <w:szCs w:val="21"/>
          <w:highlight w:val="none"/>
        </w:rPr>
        <w:t xml:space="preserve">，具体操作方法见《操作手册》。提交投标文件截止时间之后，供应商不得对其投标文件作任何修改。</w:t>
      </w:r>
      <w:r/>
    </w:p>
    <w:p>
      <w:pPr>
        <w:ind w:firstLine="420"/>
        <w:spacing w:line="460" w:lineRule="exact"/>
        <w:rPr>
          <w:rFonts w:hint="eastAsia" w:ascii="宋体" w:hAnsi="宋体" w:cs="宋体"/>
          <w:bCs/>
          <w:color w:val="auto"/>
          <w:szCs w:val="21"/>
          <w:highlight w:val="none"/>
        </w:rPr>
      </w:pPr>
      <w:r>
        <w:rPr>
          <w:rFonts w:ascii="宋体" w:hAnsi="宋体" w:cs="宋体"/>
          <w:bCs/>
          <w:color w:val="auto"/>
          <w:szCs w:val="21"/>
          <w:highlight w:val="none"/>
        </w:rPr>
        <w:t xml:space="preserve">1</w:t>
      </w:r>
      <w:r>
        <w:rPr>
          <w:rFonts w:hint="eastAsia" w:ascii="宋体" w:hAnsi="宋体" w:cs="宋体"/>
          <w:bCs/>
          <w:color w:val="auto"/>
          <w:szCs w:val="21"/>
          <w:highlight w:val="none"/>
        </w:rPr>
        <w:t xml:space="preserve">9.</w:t>
      </w:r>
      <w:r>
        <w:rPr>
          <w:rFonts w:ascii="宋体" w:hAnsi="宋体" w:cs="宋体"/>
          <w:bCs/>
          <w:color w:val="auto"/>
          <w:szCs w:val="21"/>
          <w:highlight w:val="none"/>
        </w:rPr>
        <w:t xml:space="preserve">2 </w:t>
      </w:r>
      <w:r>
        <w:rPr>
          <w:rFonts w:hint="eastAsia" w:ascii="宋体" w:hAnsi="宋体" w:cs="宋体"/>
          <w:bCs/>
          <w:color w:val="auto"/>
          <w:szCs w:val="21"/>
          <w:highlight w:val="none"/>
        </w:rPr>
        <w:t xml:space="preserve">在提交投标文件截止时间至采购文件中规定的投标有效期满之间的这段时间内，供应商不得撤回其投标文件。</w:t>
      </w:r>
      <w:r/>
    </w:p>
    <w:p>
      <w:pPr>
        <w:spacing w:line="460" w:lineRule="exact"/>
        <w:rPr>
          <w:rFonts w:hint="eastAsia" w:ascii="宋体" w:hAnsi="宋体" w:cs="宋体"/>
          <w:b/>
          <w:color w:val="auto"/>
          <w:szCs w:val="21"/>
          <w:highlight w:val="none"/>
        </w:rPr>
      </w:pPr>
      <w:r/>
      <w:bookmarkStart w:id="26" w:name="_Toc29284"/>
      <w:r/>
      <w:bookmarkStart w:id="27" w:name="_Toc25047"/>
      <w:r>
        <w:rPr>
          <w:rFonts w:hint="eastAsia" w:ascii="宋体" w:hAnsi="宋体" w:cs="宋体"/>
          <w:b/>
          <w:color w:val="auto"/>
          <w:szCs w:val="21"/>
          <w:highlight w:val="none"/>
        </w:rPr>
        <w:t xml:space="preserve">四、开标、评标与确定中标供应商</w:t>
      </w:r>
      <w:bookmarkEnd w:id="26"/>
      <w:r/>
      <w:bookmarkEnd w:id="27"/>
      <w:r/>
      <w:r/>
    </w:p>
    <w:p>
      <w:pPr>
        <w:ind w:firstLine="420"/>
        <w:spacing w:line="46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20、开标</w:t>
      </w:r>
      <w:r/>
    </w:p>
    <w:p>
      <w:pPr>
        <w:ind w:firstLine="420"/>
        <w:spacing w:line="4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2</w:t>
      </w:r>
      <w:r>
        <w:rPr>
          <w:rFonts w:ascii="宋体" w:hAnsi="宋体" w:cs="宋体"/>
          <w:bCs/>
          <w:color w:val="auto"/>
          <w:szCs w:val="21"/>
          <w:highlight w:val="none"/>
        </w:rPr>
        <w:t xml:space="preserve">0</w:t>
      </w:r>
      <w:r>
        <w:rPr>
          <w:rFonts w:hint="eastAsia" w:ascii="宋体" w:hAnsi="宋体" w:cs="宋体"/>
          <w:bCs/>
          <w:color w:val="auto"/>
          <w:szCs w:val="21"/>
          <w:highlight w:val="none"/>
        </w:rPr>
        <w:t xml:space="preserve">.1 采购代理机构将在招标公告中规定的时间和地点组织开标。供应商应当按照《操作手册》规定，参加开标活动和在苏采云系统规定的时间内对投标文件进行解密。</w:t>
      </w:r>
      <w:r/>
    </w:p>
    <w:p>
      <w:pPr>
        <w:ind w:firstLine="420"/>
        <w:spacing w:line="4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2</w:t>
      </w:r>
      <w:r>
        <w:rPr>
          <w:rFonts w:ascii="宋体" w:hAnsi="宋体" w:cs="宋体"/>
          <w:bCs/>
          <w:color w:val="auto"/>
          <w:szCs w:val="21"/>
          <w:highlight w:val="none"/>
        </w:rPr>
        <w:t xml:space="preserve">0</w:t>
      </w:r>
      <w:r>
        <w:rPr>
          <w:rFonts w:hint="eastAsia" w:ascii="宋体" w:hAnsi="宋体" w:cs="宋体"/>
          <w:bCs/>
          <w:color w:val="auto"/>
          <w:szCs w:val="21"/>
          <w:highlight w:val="none"/>
        </w:rPr>
        <w:t xml:space="preserve">.2</w:t>
      </w:r>
      <w:r>
        <w:rPr>
          <w:rFonts w:ascii="宋体" w:hAnsi="宋体" w:cs="宋体"/>
          <w:bCs/>
          <w:color w:val="auto"/>
          <w:szCs w:val="21"/>
          <w:highlight w:val="none"/>
        </w:rPr>
        <w:t xml:space="preserve"> </w:t>
      </w:r>
      <w:r>
        <w:rPr>
          <w:rFonts w:hint="eastAsia" w:ascii="宋体" w:hAnsi="宋体" w:cs="宋体"/>
          <w:bCs/>
          <w:color w:val="auto"/>
          <w:szCs w:val="21"/>
          <w:highlight w:val="none"/>
        </w:rPr>
        <w:t xml:space="preserve">开标由采购代理机构组织。苏采云系统将自动对项目进行开标，并宣布各供应商名称和投标价格。</w:t>
      </w:r>
      <w:r/>
    </w:p>
    <w:p>
      <w:pPr>
        <w:ind w:firstLine="420"/>
        <w:spacing w:line="4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2</w:t>
      </w:r>
      <w:r>
        <w:rPr>
          <w:rFonts w:ascii="宋体" w:hAnsi="宋体" w:cs="宋体"/>
          <w:bCs/>
          <w:color w:val="auto"/>
          <w:szCs w:val="21"/>
          <w:highlight w:val="none"/>
        </w:rPr>
        <w:t xml:space="preserve">0</w:t>
      </w:r>
      <w:r>
        <w:rPr>
          <w:rFonts w:hint="eastAsia" w:ascii="宋体" w:hAnsi="宋体" w:cs="宋体"/>
          <w:bCs/>
          <w:color w:val="auto"/>
          <w:szCs w:val="21"/>
          <w:highlight w:val="none"/>
        </w:rPr>
        <w:t xml:space="preserve">.3</w:t>
      </w:r>
      <w:r>
        <w:rPr>
          <w:rFonts w:ascii="宋体" w:hAnsi="宋体" w:cs="宋体"/>
          <w:bCs/>
          <w:color w:val="auto"/>
          <w:szCs w:val="21"/>
          <w:highlight w:val="none"/>
        </w:rPr>
        <w:t xml:space="preserve"> </w:t>
      </w:r>
      <w:r>
        <w:rPr>
          <w:rFonts w:hint="eastAsia" w:ascii="宋体" w:hAnsi="宋体" w:cs="宋体"/>
          <w:bCs/>
          <w:color w:val="auto"/>
          <w:szCs w:val="21"/>
          <w:highlight w:val="none"/>
        </w:rPr>
        <w:t xml:space="preserve">供应商在开标过程中涉及到的投标文件解密、开标结果确认等工作，应按照《操作手册》规定执行。</w:t>
      </w:r>
      <w:r/>
    </w:p>
    <w:p>
      <w:pPr>
        <w:ind w:firstLine="420"/>
        <w:spacing w:line="4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2</w:t>
      </w:r>
      <w:r>
        <w:rPr>
          <w:rFonts w:ascii="宋体" w:hAnsi="宋体" w:cs="宋体"/>
          <w:bCs/>
          <w:color w:val="auto"/>
          <w:szCs w:val="21"/>
          <w:highlight w:val="none"/>
        </w:rPr>
        <w:t xml:space="preserve">0</w:t>
      </w:r>
      <w:r>
        <w:rPr>
          <w:rFonts w:hint="eastAsia" w:ascii="宋体" w:hAnsi="宋体" w:cs="宋体"/>
          <w:bCs/>
          <w:color w:val="auto"/>
          <w:szCs w:val="21"/>
          <w:highlight w:val="none"/>
        </w:rPr>
        <w:t xml:space="preserve">.4</w:t>
      </w:r>
      <w:r>
        <w:rPr>
          <w:rFonts w:ascii="宋体" w:hAnsi="宋体" w:cs="宋体"/>
          <w:bCs/>
          <w:color w:val="auto"/>
          <w:szCs w:val="21"/>
          <w:highlight w:val="none"/>
        </w:rPr>
        <w:t xml:space="preserve"> </w:t>
      </w:r>
      <w:r>
        <w:rPr>
          <w:rFonts w:hint="eastAsia" w:ascii="宋体" w:hAnsi="宋体" w:cs="宋体"/>
          <w:bCs/>
          <w:color w:val="auto"/>
          <w:szCs w:val="21"/>
          <w:highlight w:val="none"/>
        </w:rPr>
        <w:t xml:space="preserve">供应商如果对开标过程和开标记录有疑义，应当根据《操作手册》规定提出，如苏采云系统中《开标记录表》宣布后规定时间内未提出的，视同认可开标结果。</w:t>
      </w:r>
      <w:r/>
    </w:p>
    <w:p>
      <w:pPr>
        <w:ind w:firstLine="420"/>
        <w:spacing w:line="4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20.</w:t>
      </w:r>
      <w:r>
        <w:rPr>
          <w:rFonts w:ascii="宋体" w:hAnsi="宋体" w:cs="宋体"/>
          <w:bCs/>
          <w:color w:val="auto"/>
          <w:szCs w:val="21"/>
          <w:highlight w:val="none"/>
        </w:rPr>
        <w:t xml:space="preserve">5</w:t>
      </w:r>
      <w:r>
        <w:rPr>
          <w:rFonts w:hint="eastAsia" w:ascii="宋体" w:hAnsi="宋体" w:cs="宋体"/>
          <w:bCs/>
          <w:color w:val="auto"/>
          <w:szCs w:val="21"/>
          <w:highlight w:val="none"/>
        </w:rPr>
        <w:t xml:space="preserve"> 供应商不足3家的，不予开标。</w:t>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20.</w:t>
      </w:r>
      <w:r>
        <w:rPr>
          <w:rFonts w:ascii="宋体" w:hAnsi="宋体" w:cs="宋体"/>
          <w:color w:val="auto"/>
          <w:szCs w:val="21"/>
          <w:highlight w:val="none"/>
        </w:rPr>
        <w:t xml:space="preserve">6</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公开招标数额标准以上的采购项目，投标截止后供应商不足3家或者通过资格审查或符合性审查的供应商不足3家的，除采购任务取消情形外，按照以下方式处理：</w:t>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（1）采购文件存在不合理条款或者采购程序不符合规定的，采购人、采购代理机构改正后依法重新招标；</w:t>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采购文件没有不合理条款、招标程序符合规定，需要采用其他采购方式采购的，采购人依法报财政部门批准，经批准后，可变更为其他采购方式采购。本次采购文件中对供应商资格条件要求、技术要求和商务等要求，将作为其他采购方式采购的基本要求和谈判依据。 </w:t>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20.</w:t>
      </w:r>
      <w:r>
        <w:rPr>
          <w:rFonts w:ascii="宋体" w:hAnsi="宋体" w:cs="宋体"/>
          <w:color w:val="auto"/>
          <w:szCs w:val="21"/>
          <w:highlight w:val="none"/>
        </w:rPr>
        <w:t xml:space="preserve">7</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公开招标数额标准以下的采购项目，按照财政主管部门相关规定执行。</w:t>
      </w:r>
      <w:r/>
    </w:p>
    <w:p>
      <w:pPr>
        <w:ind w:firstLine="420"/>
        <w:spacing w:line="46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21、评标</w:t>
      </w:r>
      <w:r/>
    </w:p>
    <w:p>
      <w:pPr>
        <w:ind w:firstLine="420"/>
        <w:spacing w:line="460" w:lineRule="exact"/>
        <w:rPr>
          <w:rFonts w:hint="eastAsia" w:ascii="宋体" w:hAnsi="宋体" w:cs="宋体"/>
          <w:b/>
          <w:bCs/>
          <w:color w:val="auto"/>
          <w:szCs w:val="21"/>
          <w:highlight w:val="none"/>
          <w:lang w:val="zh-CN"/>
        </w:rPr>
      </w:pPr>
      <w:r>
        <w:rPr>
          <w:rFonts w:hint="eastAsia" w:ascii="宋体" w:hAnsi="宋体" w:cs="宋体"/>
          <w:color w:val="auto"/>
          <w:szCs w:val="21"/>
          <w:highlight w:val="none"/>
          <w:lang w:val="zh-CN"/>
        </w:rPr>
        <w:t xml:space="preserve">21.1</w:t>
      </w:r>
      <w:r>
        <w:rPr>
          <w:rFonts w:hint="eastAsia" w:ascii="宋体" w:hAnsi="宋体" w:cs="宋体"/>
          <w:b/>
          <w:bCs/>
          <w:color w:val="auto"/>
          <w:szCs w:val="21"/>
          <w:highlight w:val="none"/>
          <w:lang w:val="zh-CN"/>
        </w:rPr>
        <w:t xml:space="preserve"> 评标组织</w:t>
      </w:r>
      <w:r/>
    </w:p>
    <w:p>
      <w:pPr>
        <w:ind w:firstLine="420"/>
        <w:spacing w:line="46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21.1.1评标工作由采购代理机构负责组织，具体评标事务由依法组建的评标委员会负责，并独立履行</w:t>
      </w:r>
      <w:r>
        <w:rPr>
          <w:rFonts w:hint="eastAsia" w:ascii="宋体" w:hAnsi="宋体" w:cs="宋体"/>
          <w:color w:val="auto"/>
          <w:szCs w:val="21"/>
          <w:highlight w:val="none"/>
        </w:rPr>
        <w:t xml:space="preserve">下列职责：</w:t>
      </w:r>
      <w:r/>
    </w:p>
    <w:p>
      <w:pPr>
        <w:ind w:firstLine="420"/>
        <w:spacing w:line="4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（1）审查、评价投标文件是否符合采购文件的商务、技术等实质性要求；</w:t>
      </w:r>
      <w:r/>
    </w:p>
    <w:p>
      <w:pPr>
        <w:ind w:firstLine="420"/>
        <w:spacing w:line="460" w:lineRule="exact"/>
        <w:rPr>
          <w:rFonts w:hint="eastAsia" w:ascii="宋体" w:hAnsi="宋体" w:cs="宋体"/>
          <w:color w:val="auto"/>
          <w:szCs w:val="21"/>
          <w:highlight w:val="none"/>
        </w:rPr>
      </w:pPr>
      <w:r>
        <w:rPr>
          <w:rFonts w:hint="eastAsia" w:ascii="宋体" w:hAnsi="宋体" w:cs="宋体"/>
          <w:color w:val="auto"/>
          <w:szCs w:val="21"/>
          <w:highlight w:val="none"/>
        </w:rPr>
        <w:t xml:space="preserve">（2）要求供应商对投标文件有关事项作出澄清或者说明；</w:t>
      </w:r>
      <w:r/>
    </w:p>
    <w:p>
      <w:pPr>
        <w:ind w:firstLine="420"/>
        <w:spacing w:line="460" w:lineRule="exact"/>
        <w:rPr>
          <w:rFonts w:hint="eastAsia" w:ascii="宋体" w:hAnsi="宋体" w:cs="宋体"/>
          <w:color w:val="auto"/>
          <w:szCs w:val="21"/>
          <w:highlight w:val="none"/>
        </w:rPr>
      </w:pPr>
      <w:r>
        <w:rPr>
          <w:rFonts w:hint="eastAsia" w:ascii="宋体" w:hAnsi="宋体" w:cs="宋体"/>
          <w:color w:val="auto"/>
          <w:szCs w:val="21"/>
          <w:highlight w:val="none"/>
        </w:rPr>
        <w:t xml:space="preserve">（3）对投标文件进行比较和评价；</w:t>
      </w:r>
      <w:r/>
    </w:p>
    <w:p>
      <w:pPr>
        <w:ind w:firstLine="420"/>
        <w:spacing w:line="460" w:lineRule="exact"/>
        <w:rPr>
          <w:rFonts w:hint="eastAsia" w:ascii="宋体" w:hAnsi="宋体" w:cs="宋体"/>
          <w:color w:val="auto"/>
          <w:szCs w:val="21"/>
          <w:highlight w:val="none"/>
        </w:rPr>
      </w:pPr>
      <w:r>
        <w:rPr>
          <w:rFonts w:hint="eastAsia" w:ascii="宋体" w:hAnsi="宋体" w:cs="宋体"/>
          <w:color w:val="auto"/>
          <w:szCs w:val="21"/>
          <w:highlight w:val="none"/>
        </w:rPr>
        <w:t xml:space="preserve">（3）根据采购人委托协议直接确定中标人；</w:t>
      </w:r>
      <w:r/>
    </w:p>
    <w:p>
      <w:pPr>
        <w:ind w:firstLine="420"/>
        <w:spacing w:line="460" w:lineRule="exact"/>
        <w:rPr>
          <w:rFonts w:hint="eastAsia" w:ascii="宋体" w:hAnsi="宋体" w:cs="宋体"/>
          <w:color w:val="auto"/>
          <w:szCs w:val="21"/>
          <w:highlight w:val="none"/>
        </w:rPr>
      </w:pPr>
      <w:r>
        <w:rPr>
          <w:rFonts w:hint="eastAsia" w:ascii="宋体" w:hAnsi="宋体" w:cs="宋体"/>
          <w:color w:val="auto"/>
          <w:szCs w:val="21"/>
          <w:highlight w:val="none"/>
        </w:rPr>
        <w:t xml:space="preserve">（4）向采购人、财政部门报告评标中发现的违法行为。</w:t>
      </w:r>
      <w:r/>
    </w:p>
    <w:p>
      <w:pPr>
        <w:ind w:firstLine="420"/>
        <w:spacing w:line="46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21.2 评标程序</w:t>
      </w:r>
      <w:r/>
    </w:p>
    <w:p>
      <w:pPr>
        <w:ind w:firstLine="420"/>
        <w:spacing w:line="460" w:lineRule="exact"/>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 xml:space="preserve">21.2.1 投标文件的资格审查</w:t>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21.2.1.1 </w:t>
      </w:r>
      <w:r>
        <w:rPr>
          <w:rFonts w:hint="eastAsia" w:ascii="宋体" w:hAnsi="宋体" w:cs="宋体"/>
          <w:color w:val="auto"/>
          <w:szCs w:val="21"/>
          <w:highlight w:val="none"/>
        </w:rPr>
        <w:t xml:space="preserve">由</w:t>
      </w:r>
      <w:r>
        <w:rPr>
          <w:rFonts w:hint="eastAsia" w:ascii="宋体" w:hAnsi="宋体" w:cs="宋体"/>
          <w:color w:val="auto"/>
          <w:szCs w:val="21"/>
          <w:highlight w:val="none"/>
          <w:lang w:val="zh-CN"/>
        </w:rPr>
        <w:t xml:space="preserve">评标委员会独立依法对供应商的资格进行审查。</w:t>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21.2.1.2 资格性审查：依据法律法规和采购文件的规定，对投标文件中的资格证明文件等进行审查，以确定投标供应商是否具备投标资格。</w:t>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21.2.1.3 在进行资格性审查的同时，将在“信用中国”网站、“中国政府采购网"对供应商是否被列入失信被执行人、重大税收违法案件当事人名单、政府采购严重违法失信行为记录名单的情况进行查询，以确定投标供应商是否具备投标资格。查询结果将以网页打印</w:t>
      </w:r>
      <w:r>
        <w:rPr>
          <w:rFonts w:hint="eastAsia" w:ascii="宋体" w:hAnsi="宋体" w:cs="宋体"/>
          <w:bCs/>
          <w:color w:val="auto"/>
          <w:szCs w:val="21"/>
          <w:highlight w:val="none"/>
        </w:rPr>
        <w:t xml:space="preserve">/截图</w:t>
      </w:r>
      <w:r>
        <w:rPr>
          <w:rFonts w:hint="eastAsia" w:ascii="宋体" w:hAnsi="宋体" w:cs="宋体"/>
          <w:color w:val="auto"/>
          <w:szCs w:val="21"/>
          <w:highlight w:val="none"/>
          <w:lang w:val="zh-CN"/>
        </w:rPr>
        <w:t xml:space="preserve">的形式留存并归档。</w:t>
      </w:r>
      <w:r/>
    </w:p>
    <w:p>
      <w:pPr>
        <w:ind w:firstLine="420"/>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21.2.1.4 投标文件有下列情况之一的，在资格性审查时按照无效投标处理：</w:t>
      </w:r>
      <w:r/>
    </w:p>
    <w:p>
      <w:pPr>
        <w:ind w:firstLine="420"/>
        <w:jc w:val="left"/>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（1）不具备采购文件中规定资格条件的；</w:t>
      </w:r>
      <w:r/>
    </w:p>
    <w:p>
      <w:pPr>
        <w:ind w:firstLine="420"/>
        <w:jc w:val="left"/>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供应商被“信用中国”、“中国政府采购网"网站列入失信被执行人、重大税收违法案件当事人名单、政府采购严重违法失信行为记录名单。接受联合体的项目，两个以上的自然人、法人或者其他组织组成一个联合体，以一个供应商的身份共同参加政府采购活动的，联合体成员存在不良信用记录的，视同联合体存在不良应用记录。</w:t>
      </w:r>
      <w:r/>
    </w:p>
    <w:p>
      <w:pPr>
        <w:ind w:firstLine="422"/>
        <w:spacing w:line="460" w:lineRule="exact"/>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 xml:space="preserve">21.2.2 投标文件的符合性审查</w:t>
      </w:r>
      <w:r/>
    </w:p>
    <w:p>
      <w:pPr>
        <w:ind w:firstLine="420"/>
        <w:spacing w:line="460" w:lineRule="exact"/>
        <w:rPr>
          <w:rFonts w:hint="eastAsia" w:ascii="宋体" w:hAnsi="宋体" w:cs="宋体"/>
          <w:color w:val="auto"/>
          <w:szCs w:val="21"/>
          <w:highlight w:val="none"/>
          <w:lang w:val="zh-CN"/>
        </w:rPr>
      </w:pPr>
      <w:r>
        <w:rPr>
          <w:rFonts w:hint="eastAsia" w:ascii="宋体" w:hAnsi="宋体" w:cs="宋体"/>
          <w:bCs/>
          <w:color w:val="auto"/>
          <w:szCs w:val="21"/>
          <w:highlight w:val="none"/>
          <w:lang w:val="zh-CN"/>
        </w:rPr>
        <w:t xml:space="preserve">21.2.2.1 </w:t>
      </w:r>
      <w:r>
        <w:rPr>
          <w:rFonts w:hint="eastAsia" w:ascii="宋体" w:hAnsi="宋体" w:cs="宋体"/>
          <w:color w:val="auto"/>
          <w:szCs w:val="21"/>
          <w:highlight w:val="none"/>
          <w:lang w:val="zh-CN"/>
        </w:rPr>
        <w:t xml:space="preserve">评标委员会将依据法律法规和采购文件的规定，对投标文件的有效性、完整性和对采购文件的响应程度进行审查，以确定是否对采购文件的实质性要求作出响应。</w:t>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21.2.2.2 实质性要求是指本采购文件中用带星号（“★”）的商务和技术要求。</w:t>
      </w:r>
      <w:r/>
    </w:p>
    <w:p>
      <w:pPr>
        <w:ind w:firstLine="420"/>
        <w:spacing w:line="460" w:lineRule="exact"/>
        <w:rPr>
          <w:rFonts w:hint="eastAsia" w:ascii="宋体" w:hAnsi="宋体" w:cs="宋体"/>
          <w:bCs/>
          <w:color w:val="auto"/>
          <w:szCs w:val="21"/>
          <w:highlight w:val="none"/>
        </w:rPr>
      </w:pPr>
      <w:r>
        <w:rPr>
          <w:rFonts w:hint="eastAsia" w:ascii="宋体" w:hAnsi="宋体" w:cs="宋体"/>
          <w:color w:val="auto"/>
          <w:szCs w:val="21"/>
          <w:highlight w:val="none"/>
          <w:lang w:val="zh-CN"/>
        </w:rPr>
        <w:t xml:space="preserve">21.2.2.3 如果投标文件实质上没有响应采购文件的要求，评标委员会将予以拒绝，</w:t>
      </w:r>
      <w:r>
        <w:rPr>
          <w:rFonts w:hint="eastAsia" w:ascii="宋体" w:hAnsi="宋体" w:cs="宋体"/>
          <w:bCs/>
          <w:color w:val="auto"/>
          <w:szCs w:val="21"/>
          <w:highlight w:val="none"/>
        </w:rPr>
        <w:t xml:space="preserve">供应商不得通过修改或撤销不合要求的偏离或保留而使其投标成为实质性响应的投标。</w:t>
      </w:r>
      <w:r/>
    </w:p>
    <w:p>
      <w:pPr>
        <w:ind w:firstLine="422"/>
        <w:spacing w:line="460" w:lineRule="exact"/>
        <w:rPr>
          <w:rFonts w:hint="eastAsia" w:ascii="宋体" w:hAnsi="宋体" w:cs="宋体"/>
          <w:b/>
          <w:color w:val="auto"/>
          <w:szCs w:val="21"/>
          <w:highlight w:val="none"/>
          <w:lang w:val="zh-CN"/>
        </w:rPr>
      </w:pPr>
      <w:r>
        <w:rPr>
          <w:rFonts w:ascii="宋体" w:hAnsi="宋体" w:cs="宋体"/>
          <w:b/>
          <w:color w:val="auto"/>
          <w:szCs w:val="21"/>
          <w:highlight w:val="none"/>
        </w:rPr>
        <w:t xml:space="preserve">21</w:t>
      </w:r>
      <w:r>
        <w:rPr>
          <w:rFonts w:hint="eastAsia" w:ascii="宋体" w:hAnsi="宋体" w:cs="宋体"/>
          <w:b/>
          <w:color w:val="auto"/>
          <w:szCs w:val="21"/>
          <w:highlight w:val="none"/>
        </w:rPr>
        <w:t xml:space="preserve">.</w:t>
      </w:r>
      <w:r>
        <w:rPr>
          <w:rFonts w:ascii="宋体" w:hAnsi="宋体" w:cs="宋体"/>
          <w:b/>
          <w:color w:val="auto"/>
          <w:szCs w:val="21"/>
          <w:highlight w:val="none"/>
        </w:rPr>
        <w:t xml:space="preserve">2</w:t>
      </w:r>
      <w:r>
        <w:rPr>
          <w:rFonts w:hint="eastAsia" w:ascii="宋体" w:hAnsi="宋体" w:cs="宋体"/>
          <w:b/>
          <w:color w:val="auto"/>
          <w:szCs w:val="21"/>
          <w:highlight w:val="none"/>
        </w:rPr>
        <w:t xml:space="preserve">.</w:t>
      </w:r>
      <w:r>
        <w:rPr>
          <w:rFonts w:ascii="宋体" w:hAnsi="宋体" w:cs="宋体"/>
          <w:b/>
          <w:color w:val="auto"/>
          <w:szCs w:val="21"/>
          <w:highlight w:val="none"/>
        </w:rPr>
        <w:t xml:space="preserve">3 </w:t>
      </w:r>
      <w:r>
        <w:rPr>
          <w:rFonts w:hint="eastAsia" w:ascii="宋体" w:hAnsi="宋体" w:cs="宋体"/>
          <w:b/>
          <w:color w:val="auto"/>
          <w:szCs w:val="21"/>
          <w:highlight w:val="none"/>
          <w:lang w:val="zh-CN"/>
        </w:rPr>
        <w:t xml:space="preserve">投标文件有下列情况之一的，投标无效：</w:t>
      </w:r>
      <w:r/>
    </w:p>
    <w:p>
      <w:pPr>
        <w:ind w:firstLine="420"/>
        <w:jc w:val="left"/>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（1）供应商在苏采云系统规定的时间内未成功解密投标文件；</w:t>
      </w:r>
      <w:r/>
    </w:p>
    <w:p>
      <w:pPr>
        <w:ind w:firstLine="420"/>
        <w:jc w:val="left"/>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（2）未按照采购文件要求上传投标文件；</w:t>
      </w:r>
      <w:r/>
    </w:p>
    <w:p>
      <w:pPr>
        <w:ind w:firstLine="420"/>
        <w:jc w:val="left"/>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ascii="宋体" w:hAnsi="宋体" w:cs="宋体"/>
          <w:color w:val="auto"/>
          <w:szCs w:val="21"/>
          <w:highlight w:val="none"/>
          <w:lang w:val="zh-CN"/>
        </w:rPr>
        <w:t xml:space="preserve">3</w:t>
      </w:r>
      <w:r>
        <w:rPr>
          <w:rFonts w:hint="eastAsia" w:ascii="宋体" w:hAnsi="宋体" w:cs="宋体"/>
          <w:color w:val="auto"/>
          <w:szCs w:val="21"/>
          <w:highlight w:val="none"/>
          <w:lang w:val="zh-CN"/>
        </w:rPr>
        <w:t xml:space="preserve">）投标文件未按采购文件要求签署、盖章或加盖电子公章的；</w:t>
      </w:r>
      <w:r/>
    </w:p>
    <w:p>
      <w:pPr>
        <w:ind w:firstLine="420"/>
        <w:jc w:val="left"/>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（4）不具备采购文件中规定的资格要求的；</w:t>
      </w:r>
      <w:r/>
    </w:p>
    <w:p>
      <w:pPr>
        <w:ind w:firstLine="420"/>
        <w:jc w:val="left"/>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ascii="宋体" w:hAnsi="宋体" w:cs="宋体"/>
          <w:color w:val="auto"/>
          <w:szCs w:val="21"/>
          <w:highlight w:val="none"/>
          <w:lang w:val="zh-CN"/>
        </w:rPr>
        <w:t xml:space="preserve">5</w:t>
      </w:r>
      <w:r>
        <w:rPr>
          <w:rFonts w:hint="eastAsia" w:ascii="宋体" w:hAnsi="宋体" w:cs="宋体"/>
          <w:color w:val="auto"/>
          <w:szCs w:val="21"/>
          <w:highlight w:val="none"/>
          <w:lang w:val="zh-CN"/>
        </w:rPr>
        <w:t xml:space="preserve">）报价超过采购文件中规定的预算金额或者最高限价的；</w:t>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ascii="宋体" w:hAnsi="宋体" w:cs="宋体"/>
          <w:color w:val="auto"/>
          <w:szCs w:val="21"/>
          <w:highlight w:val="none"/>
          <w:lang w:val="zh-CN"/>
        </w:rPr>
        <w:t xml:space="preserve">6</w:t>
      </w:r>
      <w:r>
        <w:rPr>
          <w:rFonts w:hint="eastAsia" w:ascii="宋体" w:hAnsi="宋体" w:cs="宋体"/>
          <w:color w:val="auto"/>
          <w:szCs w:val="21"/>
          <w:highlight w:val="none"/>
          <w:lang w:val="zh-CN"/>
        </w:rPr>
        <w:t xml:space="preserve">）投标文件含有采购人不能接受的附加条件的；</w:t>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ascii="宋体" w:hAnsi="宋体" w:cs="宋体"/>
          <w:color w:val="auto"/>
          <w:szCs w:val="21"/>
          <w:highlight w:val="none"/>
          <w:lang w:val="zh-CN"/>
        </w:rPr>
        <w:t xml:space="preserve">7</w:t>
      </w:r>
      <w:r>
        <w:rPr>
          <w:rFonts w:hint="eastAsia" w:ascii="宋体" w:hAnsi="宋体" w:cs="宋体"/>
          <w:color w:val="auto"/>
          <w:szCs w:val="21"/>
          <w:highlight w:val="none"/>
          <w:lang w:val="zh-CN"/>
        </w:rPr>
        <w:t xml:space="preserve">）评标委员会认为供应商的报价明显低于其他通过符合性审查供应商的报价，有可能影响产品质量或者不能诚信履约的，将通过苏采云系统要求其在合理的时间内提供说明，必要时提交相关证明材料。供应商不能证明其报价合理性的，评标委员会应当将其作为无效处理；</w:t>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ascii="宋体" w:hAnsi="宋体" w:cs="宋体"/>
          <w:color w:val="auto"/>
          <w:szCs w:val="21"/>
          <w:highlight w:val="none"/>
          <w:lang w:val="zh-CN"/>
        </w:rPr>
        <w:t xml:space="preserve">8</w:t>
      </w:r>
      <w:r>
        <w:rPr>
          <w:rFonts w:hint="eastAsia" w:ascii="宋体" w:hAnsi="宋体" w:cs="宋体"/>
          <w:color w:val="auto"/>
          <w:szCs w:val="21"/>
          <w:highlight w:val="none"/>
          <w:lang w:val="zh-CN"/>
        </w:rPr>
        <w:t xml:space="preserve">）不符合法律、法规和采购文件规定的其他无效情形。</w:t>
      </w:r>
      <w:r/>
    </w:p>
    <w:p>
      <w:pPr>
        <w:ind w:firstLine="422"/>
        <w:spacing w:line="460" w:lineRule="exact"/>
        <w:rPr>
          <w:rFonts w:hint="eastAsia" w:ascii="宋体" w:hAnsi="宋体" w:cs="宋体"/>
          <w:b/>
          <w:bCs/>
          <w:color w:val="auto"/>
          <w:szCs w:val="21"/>
          <w:highlight w:val="none"/>
          <w:lang w:val="zh-CN"/>
        </w:rPr>
      </w:pPr>
      <w:r>
        <w:rPr>
          <w:rFonts w:ascii="宋体" w:hAnsi="宋体" w:cs="宋体"/>
          <w:b/>
          <w:bCs/>
          <w:color w:val="auto"/>
          <w:szCs w:val="21"/>
          <w:highlight w:val="none"/>
          <w:lang w:val="zh-CN"/>
        </w:rPr>
        <w:t xml:space="preserve">21</w:t>
      </w:r>
      <w:r>
        <w:rPr>
          <w:rFonts w:hint="eastAsia" w:ascii="宋体" w:hAnsi="宋体" w:cs="宋体"/>
          <w:b/>
          <w:bCs/>
          <w:color w:val="auto"/>
          <w:szCs w:val="21"/>
          <w:highlight w:val="none"/>
          <w:lang w:val="zh-CN"/>
        </w:rPr>
        <w:t xml:space="preserve">.</w:t>
      </w:r>
      <w:r>
        <w:rPr>
          <w:rFonts w:ascii="宋体" w:hAnsi="宋体" w:cs="宋体"/>
          <w:b/>
          <w:bCs/>
          <w:color w:val="auto"/>
          <w:szCs w:val="21"/>
          <w:highlight w:val="none"/>
          <w:lang w:val="zh-CN"/>
        </w:rPr>
        <w:t xml:space="preserve">2</w:t>
      </w:r>
      <w:r>
        <w:rPr>
          <w:rFonts w:hint="eastAsia" w:ascii="宋体" w:hAnsi="宋体" w:cs="宋体"/>
          <w:b/>
          <w:bCs/>
          <w:color w:val="auto"/>
          <w:szCs w:val="21"/>
          <w:highlight w:val="none"/>
          <w:lang w:val="zh-CN"/>
        </w:rPr>
        <w:t xml:space="preserve">.</w:t>
      </w:r>
      <w:r>
        <w:rPr>
          <w:rFonts w:ascii="宋体" w:hAnsi="宋体" w:cs="宋体"/>
          <w:b/>
          <w:bCs/>
          <w:color w:val="auto"/>
          <w:szCs w:val="21"/>
          <w:highlight w:val="none"/>
          <w:lang w:val="zh-CN"/>
        </w:rPr>
        <w:t xml:space="preserve">4</w:t>
      </w:r>
      <w:r>
        <w:rPr>
          <w:rFonts w:hint="eastAsia" w:ascii="宋体" w:hAnsi="宋体" w:cs="宋体"/>
          <w:b/>
          <w:bCs/>
          <w:color w:val="auto"/>
          <w:szCs w:val="21"/>
          <w:highlight w:val="none"/>
          <w:lang w:val="zh-CN"/>
        </w:rPr>
        <w:t xml:space="preserve"> 有下列情形之一的，视为供应商串通投标，其投标无效：</w:t>
      </w:r>
      <w:r/>
    </w:p>
    <w:p>
      <w:pPr>
        <w:ind w:firstLine="420"/>
        <w:jc w:val="left"/>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ascii="宋体" w:hAnsi="宋体" w:cs="宋体"/>
          <w:color w:val="auto"/>
          <w:szCs w:val="21"/>
          <w:highlight w:val="none"/>
          <w:lang w:val="zh-CN"/>
        </w:rPr>
        <w:t xml:space="preserve">1</w:t>
      </w:r>
      <w:r>
        <w:rPr>
          <w:rFonts w:hint="eastAsia" w:ascii="宋体" w:hAnsi="宋体" w:cs="宋体"/>
          <w:color w:val="auto"/>
          <w:szCs w:val="21"/>
          <w:highlight w:val="none"/>
          <w:lang w:val="zh-CN"/>
        </w:rPr>
        <w:t xml:space="preserve">）不同供应商的投标文件由同一单位或者个人编制；</w:t>
      </w:r>
      <w:r/>
    </w:p>
    <w:p>
      <w:pPr>
        <w:ind w:firstLine="420"/>
        <w:jc w:val="left"/>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ascii="宋体" w:hAnsi="宋体" w:cs="宋体"/>
          <w:color w:val="auto"/>
          <w:szCs w:val="21"/>
          <w:highlight w:val="none"/>
          <w:lang w:val="zh-CN"/>
        </w:rPr>
        <w:t xml:space="preserve">2</w:t>
      </w:r>
      <w:r>
        <w:rPr>
          <w:rFonts w:hint="eastAsia" w:ascii="宋体" w:hAnsi="宋体" w:cs="宋体"/>
          <w:color w:val="auto"/>
          <w:szCs w:val="21"/>
          <w:highlight w:val="none"/>
          <w:lang w:val="zh-CN"/>
        </w:rPr>
        <w:t xml:space="preserve">）不同供应商委托同一单位或者个人办理投标事宜；</w:t>
      </w:r>
      <w:r/>
    </w:p>
    <w:p>
      <w:pPr>
        <w:ind w:firstLine="420"/>
        <w:jc w:val="left"/>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ascii="宋体" w:hAnsi="宋体" w:cs="宋体"/>
          <w:color w:val="auto"/>
          <w:szCs w:val="21"/>
          <w:highlight w:val="none"/>
          <w:lang w:val="zh-CN"/>
        </w:rPr>
        <w:t xml:space="preserve">3</w:t>
      </w:r>
      <w:r>
        <w:rPr>
          <w:rFonts w:hint="eastAsia" w:ascii="宋体" w:hAnsi="宋体" w:cs="宋体"/>
          <w:color w:val="auto"/>
          <w:szCs w:val="21"/>
          <w:highlight w:val="none"/>
          <w:lang w:val="zh-CN"/>
        </w:rPr>
        <w:t xml:space="preserve">）不同供应商的投标文件载明的项目管理成员或者联系人员为同一人；</w:t>
      </w:r>
      <w:r/>
    </w:p>
    <w:p>
      <w:pPr>
        <w:ind w:firstLine="420"/>
        <w:jc w:val="left"/>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（4）不同供应商的投标文件异常一致或者投标报价呈规律性差异；</w:t>
      </w:r>
      <w:r/>
    </w:p>
    <w:p>
      <w:pPr>
        <w:ind w:firstLine="420"/>
        <w:spacing w:line="460" w:lineRule="exact"/>
        <w:widowControl/>
        <w:rPr>
          <w:rFonts w:hint="eastAsia" w:ascii="宋体" w:hAnsi="宋体" w:cs="宋体"/>
          <w:color w:val="auto"/>
          <w:szCs w:val="21"/>
          <w:highlight w:val="none"/>
          <w:lang w:val="zh-CN"/>
        </w:rPr>
      </w:pPr>
      <w:r>
        <w:rPr>
          <w:rFonts w:ascii="宋体" w:hAnsi="宋体" w:cs="宋体"/>
          <w:b/>
          <w:bCs/>
          <w:color w:val="auto"/>
          <w:szCs w:val="21"/>
          <w:highlight w:val="none"/>
          <w:lang w:val="zh-CN"/>
        </w:rPr>
        <w:t xml:space="preserve">21</w:t>
      </w:r>
      <w:r>
        <w:rPr>
          <w:rFonts w:hint="eastAsia" w:ascii="宋体" w:hAnsi="宋体" w:cs="宋体"/>
          <w:b/>
          <w:bCs/>
          <w:color w:val="auto"/>
          <w:szCs w:val="21"/>
          <w:highlight w:val="none"/>
          <w:lang w:val="zh-CN"/>
        </w:rPr>
        <w:t xml:space="preserve">.</w:t>
      </w:r>
      <w:r>
        <w:rPr>
          <w:rFonts w:ascii="宋体" w:hAnsi="宋体" w:cs="宋体"/>
          <w:b/>
          <w:bCs/>
          <w:color w:val="auto"/>
          <w:szCs w:val="21"/>
          <w:highlight w:val="none"/>
          <w:lang w:val="zh-CN"/>
        </w:rPr>
        <w:t xml:space="preserve">2</w:t>
      </w:r>
      <w:r>
        <w:rPr>
          <w:rFonts w:hint="eastAsia" w:ascii="宋体" w:hAnsi="宋体" w:cs="宋体"/>
          <w:b/>
          <w:bCs/>
          <w:color w:val="auto"/>
          <w:szCs w:val="21"/>
          <w:highlight w:val="none"/>
          <w:lang w:val="zh-CN"/>
        </w:rPr>
        <w:t xml:space="preserve">.</w:t>
      </w:r>
      <w:r>
        <w:rPr>
          <w:rFonts w:ascii="宋体" w:hAnsi="宋体" w:cs="宋体"/>
          <w:b/>
          <w:bCs/>
          <w:color w:val="auto"/>
          <w:szCs w:val="21"/>
          <w:highlight w:val="none"/>
          <w:lang w:val="zh-CN"/>
        </w:rPr>
        <w:t xml:space="preserve">5</w:t>
      </w:r>
      <w:r>
        <w:rPr>
          <w:rFonts w:hint="eastAsia" w:ascii="宋体" w:hAnsi="宋体" w:cs="宋体"/>
          <w:b/>
          <w:bCs/>
          <w:color w:val="auto"/>
          <w:szCs w:val="21"/>
          <w:highlight w:val="none"/>
          <w:lang w:val="zh-CN"/>
        </w:rPr>
        <w:t xml:space="preserve"> </w:t>
      </w:r>
      <w:r>
        <w:rPr>
          <w:rFonts w:hint="eastAsia" w:ascii="宋体" w:hAnsi="宋体" w:cs="宋体"/>
          <w:color w:val="auto"/>
          <w:szCs w:val="21"/>
          <w:highlight w:val="none"/>
          <w:lang w:val="zh-CN"/>
        </w:rPr>
        <w:t xml:space="preserve">在评标期间，出现符合专业条件的供应商或者对采购文件作出实质性响应的供应商不足三家情形的，比照20.</w:t>
      </w:r>
      <w:r>
        <w:rPr>
          <w:rFonts w:ascii="宋体" w:hAnsi="宋体" w:cs="宋体"/>
          <w:color w:val="auto"/>
          <w:szCs w:val="21"/>
          <w:highlight w:val="none"/>
        </w:rPr>
        <w:t xml:space="preserve">5</w:t>
      </w:r>
      <w:r>
        <w:rPr>
          <w:rFonts w:hint="eastAsia" w:ascii="宋体" w:hAnsi="宋体" w:cs="宋体"/>
          <w:color w:val="auto"/>
          <w:szCs w:val="21"/>
          <w:highlight w:val="none"/>
        </w:rPr>
        <w:t xml:space="preserve">-20.</w:t>
      </w:r>
      <w:r>
        <w:rPr>
          <w:rFonts w:ascii="宋体" w:hAnsi="宋体" w:cs="宋体"/>
          <w:color w:val="auto"/>
          <w:szCs w:val="21"/>
          <w:highlight w:val="none"/>
        </w:rPr>
        <w:t xml:space="preserve">6</w:t>
      </w:r>
      <w:r>
        <w:rPr>
          <w:rFonts w:hint="eastAsia" w:ascii="宋体" w:hAnsi="宋体" w:cs="宋体"/>
          <w:color w:val="auto"/>
          <w:szCs w:val="21"/>
          <w:highlight w:val="none"/>
          <w:lang w:val="zh-CN"/>
        </w:rPr>
        <w:t xml:space="preserve">款执行。</w:t>
      </w:r>
      <w:r/>
    </w:p>
    <w:p>
      <w:pPr>
        <w:ind w:firstLine="422"/>
        <w:spacing w:line="460" w:lineRule="exact"/>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 xml:space="preserve">21.2.</w:t>
      </w:r>
      <w:r>
        <w:rPr>
          <w:rFonts w:ascii="宋体" w:hAnsi="宋体" w:cs="宋体"/>
          <w:b/>
          <w:color w:val="auto"/>
          <w:szCs w:val="21"/>
          <w:highlight w:val="none"/>
          <w:lang w:val="zh-CN"/>
        </w:rPr>
        <w:t xml:space="preserve">6</w:t>
      </w:r>
      <w:r>
        <w:rPr>
          <w:rFonts w:hint="eastAsia" w:ascii="宋体" w:hAnsi="宋体" w:cs="宋体"/>
          <w:b/>
          <w:color w:val="auto"/>
          <w:szCs w:val="21"/>
          <w:highlight w:val="none"/>
          <w:lang w:val="zh-CN"/>
        </w:rPr>
        <w:t xml:space="preserve"> 投标文件的进一步评审</w:t>
      </w:r>
      <w:r/>
    </w:p>
    <w:p>
      <w:pPr>
        <w:ind w:firstLine="420"/>
        <w:spacing w:line="460" w:lineRule="exact"/>
        <w:rPr>
          <w:rFonts w:hint="eastAsia" w:ascii="宋体" w:hAnsi="宋体" w:cs="宋体"/>
          <w:bCs/>
          <w:color w:val="auto"/>
          <w:szCs w:val="21"/>
          <w:highlight w:val="none"/>
        </w:rPr>
      </w:pPr>
      <w:r>
        <w:rPr>
          <w:rFonts w:hint="eastAsia" w:ascii="宋体" w:hAnsi="宋体" w:cs="宋体"/>
          <w:color w:val="auto"/>
          <w:szCs w:val="21"/>
          <w:highlight w:val="none"/>
          <w:lang w:val="zh-CN"/>
        </w:rPr>
        <w:t xml:space="preserve">21.2.</w:t>
      </w:r>
      <w:r>
        <w:rPr>
          <w:rFonts w:ascii="宋体" w:hAnsi="宋体" w:cs="宋体"/>
          <w:color w:val="auto"/>
          <w:szCs w:val="21"/>
          <w:highlight w:val="none"/>
          <w:lang w:val="zh-CN"/>
        </w:rPr>
        <w:t xml:space="preserve">6</w:t>
      </w:r>
      <w:r>
        <w:rPr>
          <w:rFonts w:hint="eastAsia" w:ascii="宋体" w:hAnsi="宋体" w:cs="宋体"/>
          <w:color w:val="auto"/>
          <w:szCs w:val="21"/>
          <w:highlight w:val="none"/>
          <w:lang w:val="zh-CN"/>
        </w:rPr>
        <w:t xml:space="preserve">.1</w:t>
      </w:r>
      <w:r>
        <w:rPr>
          <w:rFonts w:hint="eastAsia" w:ascii="宋体" w:hAnsi="宋体" w:cs="宋体"/>
          <w:bCs/>
          <w:color w:val="auto"/>
          <w:szCs w:val="21"/>
          <w:highlight w:val="none"/>
        </w:rPr>
        <w:t xml:space="preserve">评标委员会将对确定为实质性响应的投标文件进行进一步评审，投标文件报价出现前后不一致的，除采购文件另有规定外，按照下列规定修正：</w:t>
      </w:r>
      <w:r/>
    </w:p>
    <w:p>
      <w:pPr>
        <w:ind w:firstLine="420"/>
        <w:spacing w:line="4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（1）投标文件中《开标一览表》、《分项报价表》内容与投标文件中相应内容不一致的，以《开标一览表》、《分项报价表》为准；</w:t>
      </w:r>
      <w:r/>
    </w:p>
    <w:p>
      <w:pPr>
        <w:ind w:firstLine="420"/>
        <w:spacing w:line="4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（2）大写金额与小写金额不一致的，以大写金额为准。</w:t>
      </w:r>
      <w:r/>
    </w:p>
    <w:p>
      <w:pPr>
        <w:ind w:firstLine="420"/>
        <w:spacing w:line="4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w:t>
      </w:r>
      <w:r>
        <w:rPr>
          <w:rFonts w:ascii="宋体" w:hAnsi="宋体" w:cs="宋体"/>
          <w:bCs/>
          <w:color w:val="auto"/>
          <w:szCs w:val="21"/>
          <w:highlight w:val="none"/>
        </w:rPr>
        <w:t xml:space="preserve">3</w:t>
      </w:r>
      <w:r>
        <w:rPr>
          <w:rFonts w:hint="eastAsia" w:ascii="宋体" w:hAnsi="宋体" w:cs="宋体"/>
          <w:bCs/>
          <w:color w:val="auto"/>
          <w:szCs w:val="21"/>
          <w:highlight w:val="none"/>
        </w:rPr>
        <w:t xml:space="preserve">）单价金额小数点或者百分比有明显错位的，以《开标一览表》、《分项报价表》的总价为准，并修改单价；</w:t>
      </w:r>
      <w:r/>
    </w:p>
    <w:p>
      <w:pPr>
        <w:ind w:firstLine="420"/>
        <w:spacing w:line="4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w:t>
      </w:r>
      <w:r>
        <w:rPr>
          <w:rFonts w:ascii="宋体" w:hAnsi="宋体" w:cs="宋体"/>
          <w:bCs/>
          <w:color w:val="auto"/>
          <w:szCs w:val="21"/>
          <w:highlight w:val="none"/>
        </w:rPr>
        <w:t xml:space="preserve">4</w:t>
      </w:r>
      <w:r>
        <w:rPr>
          <w:rFonts w:hint="eastAsia" w:ascii="宋体" w:hAnsi="宋体" w:cs="宋体"/>
          <w:bCs/>
          <w:color w:val="auto"/>
          <w:szCs w:val="21"/>
          <w:highlight w:val="none"/>
        </w:rPr>
        <w:t xml:space="preserve">）总价金额与按单价汇总金额不一致的，以单价金额计算结果为准；</w:t>
      </w:r>
      <w:r/>
    </w:p>
    <w:p>
      <w:pPr>
        <w:ind w:firstLine="420"/>
        <w:spacing w:line="4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w:t>
      </w:r>
      <w:r>
        <w:rPr>
          <w:rFonts w:ascii="宋体" w:hAnsi="宋体" w:cs="宋体"/>
          <w:bCs/>
          <w:color w:val="auto"/>
          <w:szCs w:val="21"/>
          <w:highlight w:val="none"/>
        </w:rPr>
        <w:t xml:space="preserve">5</w:t>
      </w:r>
      <w:r>
        <w:rPr>
          <w:rFonts w:hint="eastAsia" w:ascii="宋体" w:hAnsi="宋体" w:cs="宋体"/>
          <w:bCs/>
          <w:color w:val="auto"/>
          <w:szCs w:val="21"/>
          <w:highlight w:val="none"/>
        </w:rPr>
        <w:t xml:space="preserve">）同时出现两种以上不一致的，按照前款规定的顺序修正。修正后的报价由法定代表人或其授权的代表签字确认，确认后产生约束力，供应商不确认的，投标无效。</w:t>
      </w:r>
      <w:r/>
    </w:p>
    <w:p>
      <w:pPr>
        <w:ind w:firstLine="420"/>
        <w:spacing w:line="4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（5）对不同文字文本投标文件的解释发生异议的，以中文文本为准。</w:t>
      </w:r>
      <w:r/>
    </w:p>
    <w:p>
      <w:pPr>
        <w:ind w:firstLine="420"/>
        <w:spacing w:line="460" w:lineRule="exact"/>
        <w:rPr>
          <w:rFonts w:hint="eastAsia" w:ascii="宋体" w:hAnsi="宋体" w:cs="宋体"/>
          <w:bCs/>
          <w:color w:val="auto"/>
          <w:szCs w:val="21"/>
          <w:highlight w:val="none"/>
        </w:rPr>
      </w:pPr>
      <w:r>
        <w:rPr>
          <w:rFonts w:hint="eastAsia" w:ascii="宋体" w:hAnsi="宋体" w:cs="宋体"/>
          <w:color w:val="auto"/>
          <w:szCs w:val="21"/>
          <w:highlight w:val="none"/>
        </w:rPr>
        <w:t xml:space="preserve">21.2.</w:t>
      </w:r>
      <w:r>
        <w:rPr>
          <w:rFonts w:ascii="宋体" w:hAnsi="宋体" w:cs="宋体"/>
          <w:color w:val="auto"/>
          <w:szCs w:val="21"/>
          <w:highlight w:val="none"/>
        </w:rPr>
        <w:t xml:space="preserve">6</w:t>
      </w:r>
      <w:r>
        <w:rPr>
          <w:rFonts w:hint="eastAsia" w:ascii="宋体" w:hAnsi="宋体" w:cs="宋体"/>
          <w:color w:val="auto"/>
          <w:szCs w:val="21"/>
          <w:highlight w:val="none"/>
        </w:rPr>
        <w:t xml:space="preserve">.</w:t>
      </w:r>
      <w:r>
        <w:rPr>
          <w:rFonts w:ascii="宋体" w:hAnsi="宋体" w:cs="宋体"/>
          <w:color w:val="auto"/>
          <w:szCs w:val="21"/>
          <w:highlight w:val="none"/>
        </w:rPr>
        <w:t xml:space="preserve">2</w:t>
      </w:r>
      <w:r>
        <w:rPr>
          <w:rFonts w:hint="eastAsia" w:ascii="宋体" w:hAnsi="宋体" w:cs="宋体"/>
          <w:color w:val="auto"/>
          <w:szCs w:val="21"/>
          <w:highlight w:val="none"/>
        </w:rPr>
        <w:t xml:space="preserve"> </w:t>
      </w:r>
      <w:r>
        <w:rPr>
          <w:rFonts w:hint="eastAsia" w:ascii="宋体" w:hAnsi="宋体" w:cs="宋体"/>
          <w:bCs/>
          <w:color w:val="auto"/>
          <w:szCs w:val="21"/>
          <w:highlight w:val="none"/>
        </w:rPr>
        <w:t xml:space="preserve">评标委员会将允许修正投标文件中不构成重大偏离的、微小的、非正规的、不一致的或不规则的地方，但这些修改不能影响任何供应商相应的名次排列。</w:t>
      </w:r>
      <w:r/>
    </w:p>
    <w:p>
      <w:pPr>
        <w:ind w:firstLine="420"/>
        <w:spacing w:line="460" w:lineRule="exact"/>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21.2.</w:t>
      </w:r>
      <w:r>
        <w:rPr>
          <w:rFonts w:ascii="宋体" w:hAnsi="宋体" w:cs="宋体"/>
          <w:bCs/>
          <w:color w:val="auto"/>
          <w:szCs w:val="21"/>
          <w:highlight w:val="none"/>
        </w:rPr>
        <w:t xml:space="preserve">6</w:t>
      </w:r>
      <w:r>
        <w:rPr>
          <w:rFonts w:hint="eastAsia" w:ascii="宋体" w:hAnsi="宋体" w:cs="宋体"/>
          <w:bCs/>
          <w:color w:val="auto"/>
          <w:szCs w:val="21"/>
          <w:highlight w:val="none"/>
        </w:rPr>
        <w:t xml:space="preserve">.</w:t>
      </w:r>
      <w:r>
        <w:rPr>
          <w:rFonts w:ascii="宋体" w:hAnsi="宋体" w:cs="宋体"/>
          <w:bCs/>
          <w:color w:val="auto"/>
          <w:szCs w:val="21"/>
          <w:highlight w:val="none"/>
        </w:rPr>
        <w:t xml:space="preserve">3</w:t>
      </w:r>
      <w:r>
        <w:rPr>
          <w:rFonts w:hint="eastAsia" w:ascii="宋体" w:hAnsi="宋体" w:cs="宋体"/>
          <w:bCs/>
          <w:color w:val="auto"/>
          <w:szCs w:val="21"/>
          <w:highlight w:val="none"/>
        </w:rPr>
        <w:t xml:space="preserve"> 澄清有关问题</w:t>
      </w:r>
      <w:r/>
    </w:p>
    <w:p>
      <w:pPr>
        <w:ind w:firstLine="420"/>
        <w:spacing w:line="46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1）评标期间，评标委员会对投标文件中含义不明确、同类问题表述不一致或者有明显文字和计算错误的内容，有权要求供应商作出必要的澄清、说明或者补正。供应商的澄清、说明或者补正不得超出投标文件的范围或者改变投标文件的实质性内容。评标委员会并非对全部供应商都做澄清要求。</w:t>
      </w:r>
      <w:r/>
    </w:p>
    <w:p>
      <w:pPr>
        <w:ind w:firstLine="420"/>
        <w:spacing w:line="46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2）需要供应商进行澄清、说明和补正的，评标委员会将通过苏采云系统向供应商发出“澄清要求函”，接到“澄清要求函”的供应商应当按照要求在苏采云系统中提交“澄清响应函”并加盖CA电子公章。澄清、说明和补正的内容作为投标文件的补充部分，具体操作方式见《操作手册》。</w:t>
      </w:r>
      <w:r/>
    </w:p>
    <w:p>
      <w:pPr>
        <w:ind w:firstLine="420"/>
        <w:spacing w:line="46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（3）接到评标委员会澄清、说明和补正要求的供应商如未按规定做出澄清、说明和补正，其风险由供应商自行承担。</w:t>
      </w:r>
      <w:r/>
    </w:p>
    <w:p>
      <w:pPr>
        <w:ind w:left="0"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（4）评审过程中出现下列情形之一的，评审委员会应当启动异常低价投标（响应）审查程序：</w:t>
      </w:r>
      <w:r/>
    </w:p>
    <w:p>
      <w:pPr>
        <w:ind w:left="420"/>
        <w:spacing w:line="360" w:lineRule="auto"/>
        <w:rPr>
          <w:rFonts w:ascii="宋体" w:hAnsi="宋体" w:cs="宋体"/>
          <w:bCs/>
          <w:color w:val="auto"/>
          <w:szCs w:val="21"/>
          <w:highlight w:val="none"/>
        </w:rPr>
      </w:pPr>
      <w:r>
        <w:rPr>
          <w:rFonts w:hint="eastAsia" w:ascii="宋体" w:hAnsi="宋体" w:cs="宋体"/>
          <w:color w:val="auto"/>
          <w:szCs w:val="21"/>
          <w:highlight w:val="none"/>
        </w:rPr>
        <w:t xml:space="preserve">①</w:t>
      </w:r>
      <w:r>
        <w:rPr>
          <w:rFonts w:hint="eastAsia" w:ascii="宋体" w:hAnsi="宋体" w:cs="宋体"/>
          <w:bCs/>
          <w:color w:val="auto"/>
          <w:szCs w:val="21"/>
          <w:highlight w:val="none"/>
        </w:rPr>
        <w:t xml:space="preserve">投标（响应）报价低于采购项目预算50%的，即投标（响应）报价&lt;采购项目预算×50%；</w:t>
      </w:r>
      <w:r/>
    </w:p>
    <w:p>
      <w:pPr>
        <w:ind w:firstLine="442"/>
        <w:spacing w:line="360" w:lineRule="auto"/>
        <w:rPr>
          <w:rFonts w:ascii="宋体" w:hAnsi="宋体" w:cs="宋体"/>
          <w:bCs/>
          <w:color w:val="auto"/>
          <w:szCs w:val="21"/>
          <w:highlight w:val="none"/>
        </w:rPr>
      </w:pPr>
      <w:r>
        <w:rPr>
          <w:rFonts w:hint="eastAsia" w:ascii="宋体" w:hAnsi="宋体" w:cs="宋体"/>
          <w:color w:val="auto"/>
          <w:szCs w:val="21"/>
          <w:highlight w:val="none"/>
        </w:rPr>
        <w:t xml:space="preserve">②</w:t>
      </w:r>
      <w:r>
        <w:rPr>
          <w:rFonts w:hint="eastAsia" w:ascii="宋体" w:hAnsi="宋体" w:cs="宋体"/>
          <w:bCs/>
          <w:color w:val="auto"/>
          <w:szCs w:val="21"/>
          <w:highlight w:val="none"/>
        </w:rPr>
        <w:t xml:space="preserve">投标（响应）报价低于采购项目最高限价45%的，即投标（响应）报价&lt;采购项目最高限价×45%；</w:t>
      </w:r>
      <w:r/>
    </w:p>
    <w:p>
      <w:pPr>
        <w:ind w:firstLine="442"/>
        <w:spacing w:line="360" w:lineRule="auto"/>
        <w:rPr>
          <w:rFonts w:ascii="宋体" w:hAnsi="宋体" w:cs="宋体"/>
          <w:bCs/>
          <w:color w:val="auto"/>
          <w:szCs w:val="21"/>
          <w:highlight w:val="none"/>
        </w:rPr>
      </w:pPr>
      <w:r>
        <w:rPr>
          <w:rFonts w:hint="eastAsia" w:ascii="宋体" w:hAnsi="宋体" w:cs="宋体"/>
          <w:color w:val="auto"/>
          <w:szCs w:val="21"/>
          <w:highlight w:val="none"/>
        </w:rPr>
        <w:t xml:space="preserve">③</w:t>
      </w:r>
      <w:r>
        <w:rPr>
          <w:rFonts w:hint="eastAsia" w:ascii="宋体" w:hAnsi="宋体" w:cs="宋体"/>
          <w:bCs/>
          <w:color w:val="auto"/>
          <w:szCs w:val="21"/>
          <w:highlight w:val="none"/>
        </w:rPr>
        <w:t xml:space="preserve">评审委员会认定的投标人报价过低、有可能影响产品质量或者不能诚信履约的其他情形。</w:t>
      </w:r>
      <w:r/>
    </w:p>
    <w:p>
      <w:pPr>
        <w:ind w:firstLine="420"/>
        <w:jc w:val="left"/>
        <w:spacing w:line="360" w:lineRule="auto"/>
        <w:widowControl/>
        <w:rPr>
          <w:rFonts w:hint="eastAsia"/>
          <w:color w:val="auto"/>
        </w:rPr>
      </w:pPr>
      <w:r>
        <w:rPr>
          <w:rFonts w:hint="eastAsia" w:ascii="宋体" w:hAnsi="宋体"/>
          <w:color w:val="auto"/>
          <w:szCs w:val="21"/>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p>
      <w:pPr>
        <w:ind w:firstLine="420"/>
        <w:spacing w:line="46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21.2.</w:t>
      </w:r>
      <w:r>
        <w:rPr>
          <w:rFonts w:ascii="宋体" w:hAnsi="宋体" w:cs="宋体"/>
          <w:color w:val="auto"/>
          <w:szCs w:val="21"/>
          <w:highlight w:val="none"/>
        </w:rPr>
        <w:t xml:space="preserve">6</w:t>
      </w:r>
      <w:r>
        <w:rPr>
          <w:rFonts w:hint="eastAsia" w:ascii="宋体" w:hAnsi="宋体" w:cs="宋体"/>
          <w:color w:val="auto"/>
          <w:szCs w:val="21"/>
          <w:highlight w:val="none"/>
        </w:rPr>
        <w:t xml:space="preserve">.</w:t>
      </w:r>
      <w:r>
        <w:rPr>
          <w:rFonts w:ascii="宋体" w:hAnsi="宋体" w:cs="宋体"/>
          <w:color w:val="auto"/>
          <w:szCs w:val="21"/>
          <w:highlight w:val="none"/>
        </w:rPr>
        <w:t xml:space="preserve">4</w:t>
      </w:r>
      <w:r>
        <w:rPr>
          <w:rFonts w:hint="eastAsia" w:ascii="宋体" w:hAnsi="宋体" w:cs="宋体"/>
          <w:color w:val="auto"/>
          <w:szCs w:val="21"/>
          <w:highlight w:val="none"/>
        </w:rPr>
        <w:t xml:space="preserve"> 比较与评价</w:t>
      </w:r>
      <w:r/>
    </w:p>
    <w:p>
      <w:pPr>
        <w:ind w:firstLine="420"/>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按照采购文件中规定的评标方法和标准，对资格性检查和符合性检查合格的投标文件进行商务和技术评估，综合比较与评价。</w:t>
      </w:r>
      <w:r/>
    </w:p>
    <w:p>
      <w:pPr>
        <w:ind w:firstLine="420"/>
        <w:spacing w:line="460" w:lineRule="exact"/>
        <w:widowControl/>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21.2.7有下列情形之一的流标，同时将流标理由通过系统公示：</w:t>
      </w:r>
      <w:r/>
    </w:p>
    <w:p>
      <w:pPr>
        <w:ind w:firstLine="420"/>
        <w:spacing w:line="460" w:lineRule="exact"/>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（1）所有投标均不符合招标文件要求，被评标委员会否决；</w:t>
      </w:r>
      <w:r/>
    </w:p>
    <w:p>
      <w:pPr>
        <w:ind w:firstLine="420"/>
        <w:spacing w:line="460" w:lineRule="exact"/>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（2）有效投标不足三个，评标委员会认为缺乏竞争性，决定否决全部投标。；</w:t>
      </w:r>
      <w:r/>
    </w:p>
    <w:p>
      <w:pPr>
        <w:ind w:firstLine="420"/>
        <w:spacing w:line="460" w:lineRule="exact"/>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（3）出现影响招标公正的违法、违规行为的；</w:t>
      </w:r>
      <w:r/>
    </w:p>
    <w:p>
      <w:pPr>
        <w:ind w:firstLine="420"/>
        <w:spacing w:line="460" w:lineRule="exact"/>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（4）因重大变故，采购任务取消的。</w:t>
      </w:r>
      <w:r/>
    </w:p>
    <w:p>
      <w:pPr>
        <w:ind w:firstLine="420"/>
        <w:spacing w:line="460" w:lineRule="exact"/>
        <w:widowControl/>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21.3 评标方法和标准</w:t>
      </w:r>
      <w:r/>
    </w:p>
    <w:p>
      <w:pPr>
        <w:ind w:firstLine="420"/>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21.3.1 采用综合评分法。综合评分法是指投标文件满足采购文件全部实质性要求，且按照采购文件中规定评审因素量化指标评审</w:t>
      </w:r>
      <w:bookmarkStart w:id="28" w:name="_Hlk176874978"/>
      <w:r>
        <w:rPr>
          <w:rFonts w:hint="eastAsia" w:ascii="宋体" w:hAnsi="宋体" w:cs="宋体"/>
          <w:color w:val="auto"/>
          <w:szCs w:val="21"/>
          <w:highlight w:val="none"/>
          <w:lang w:val="zh-CN"/>
        </w:rPr>
        <w:t xml:space="preserve">得分最高</w:t>
      </w:r>
      <w:bookmarkEnd w:id="28"/>
      <w:r>
        <w:rPr>
          <w:rFonts w:hint="eastAsia" w:ascii="宋体" w:hAnsi="宋体" w:cs="宋体"/>
          <w:color w:val="auto"/>
          <w:szCs w:val="21"/>
          <w:highlight w:val="none"/>
          <w:lang w:val="zh-CN"/>
        </w:rPr>
        <w:t xml:space="preserve">的供应商为中标候选人的评标方法。具体评分标准详见采购文件“第三章 评标标准”。</w:t>
      </w:r>
      <w:r/>
    </w:p>
    <w:p>
      <w:pPr>
        <w:ind w:firstLine="420"/>
        <w:spacing w:line="46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22、确定中标供应商</w:t>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22.1 在综合比较与评价后，按照得分由高到低顺序对供应商进行排列。得分相同的，按投标报价由低到高顺序排列。得分且最终投标报价相同的并列。投标文件满足采购文件全部实质性要求，且按照评标评审因素的量化指标评审得分排名第一的供应商确定为中标供应商。</w:t>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22.2 中标供应商确定之日起2个工作日内，将在财政部门指定的政府采购信息发布媒体上公告</w:t>
      </w:r>
      <w:r>
        <w:rPr>
          <w:rFonts w:ascii="宋体" w:hAnsi="宋体" w:cs="宋体"/>
          <w:color w:val="auto"/>
          <w:szCs w:val="21"/>
          <w:highlight w:val="none"/>
        </w:rPr>
        <w:t xml:space="preserve">中标结果</w:t>
      </w:r>
      <w:r>
        <w:rPr>
          <w:rFonts w:hint="eastAsia" w:ascii="宋体" w:hAnsi="宋体" w:cs="宋体"/>
          <w:color w:val="auto"/>
          <w:szCs w:val="21"/>
          <w:highlight w:val="none"/>
          <w:lang w:val="zh-CN"/>
        </w:rPr>
        <w:t xml:space="preserve">，中标供应商应及时到</w:t>
      </w:r>
      <w:r>
        <w:rPr>
          <w:rFonts w:ascii="宋体" w:hAnsi="宋体" w:cs="宋体"/>
          <w:color w:val="auto"/>
          <w:szCs w:val="21"/>
          <w:highlight w:val="none"/>
        </w:rPr>
        <w:t xml:space="preserve">采购代理机构</w:t>
      </w:r>
      <w:r>
        <w:rPr>
          <w:rFonts w:hint="eastAsia" w:ascii="宋体" w:hAnsi="宋体" w:cs="宋体"/>
          <w:color w:val="auto"/>
          <w:szCs w:val="21"/>
          <w:highlight w:val="none"/>
          <w:lang w:val="zh-CN"/>
        </w:rPr>
        <w:t xml:space="preserve">领取《中标通知书》。</w:t>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22.3 中标通知书对采购人和中标供应商具有同等法律效力。</w:t>
      </w:r>
      <w:r/>
    </w:p>
    <w:p>
      <w:pPr>
        <w:ind w:firstLine="420"/>
        <w:spacing w:line="46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22.4 </w:t>
      </w:r>
      <w:r>
        <w:rPr>
          <w:rFonts w:hint="eastAsia" w:ascii="宋体" w:hAnsi="宋体" w:cs="宋体"/>
          <w:color w:val="auto"/>
          <w:szCs w:val="21"/>
          <w:highlight w:val="none"/>
        </w:rPr>
        <w:t xml:space="preserve">中标通知书发出后，中标供应商无正当理由不与采购人签订合同的，情节严重的，由财政部门将其列入不良行为记录名单，在一至三年内禁止参加南京市政府采购活动，并予以通报。</w:t>
      </w:r>
      <w:r/>
    </w:p>
    <w:p>
      <w:pPr>
        <w:ind w:firstLine="420"/>
        <w:spacing w:line="460" w:lineRule="exact"/>
        <w:tabs>
          <w:tab w:val="left" w:pos="126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22.5 </w:t>
      </w:r>
      <w:r>
        <w:rPr>
          <w:rFonts w:hint="eastAsia" w:ascii="宋体" w:hAnsi="宋体" w:cs="宋体"/>
          <w:color w:val="auto"/>
          <w:szCs w:val="21"/>
          <w:highlight w:val="none"/>
          <w:lang w:val="zh-CN"/>
        </w:rPr>
        <w:t xml:space="preserve">采购代理机构和评标委员会</w:t>
      </w:r>
      <w:r>
        <w:rPr>
          <w:rFonts w:hint="eastAsia" w:ascii="宋体" w:hAnsi="宋体" w:cs="宋体"/>
          <w:color w:val="auto"/>
          <w:szCs w:val="21"/>
          <w:highlight w:val="none"/>
        </w:rPr>
        <w:t xml:space="preserve">对未中标的供应商不作未中标原因的解释。</w:t>
      </w:r>
      <w:r/>
    </w:p>
    <w:p>
      <w:pPr>
        <w:ind w:firstLine="413"/>
        <w:spacing w:line="46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23</w:t>
      </w:r>
      <w:r>
        <w:rPr>
          <w:rFonts w:hint="eastAsia" w:ascii="宋体" w:hAnsi="宋体" w:cs="宋体"/>
          <w:b/>
          <w:bCs/>
          <w:color w:val="auto"/>
          <w:szCs w:val="21"/>
          <w:highlight w:val="none"/>
          <w:lang w:val="zh-CN"/>
        </w:rPr>
        <w:t xml:space="preserve">、</w:t>
      </w:r>
      <w:r>
        <w:rPr>
          <w:rFonts w:hint="eastAsia" w:ascii="宋体" w:hAnsi="宋体" w:cs="宋体"/>
          <w:b/>
          <w:color w:val="auto"/>
          <w:szCs w:val="21"/>
          <w:highlight w:val="none"/>
        </w:rPr>
        <w:t xml:space="preserve">评标</w:t>
      </w:r>
      <w:r/>
    </w:p>
    <w:p>
      <w:pPr>
        <w:ind w:firstLine="420"/>
        <w:spacing w:line="460" w:lineRule="exact"/>
        <w:rPr>
          <w:rFonts w:hint="eastAsia" w:ascii="宋体" w:hAnsi="宋体" w:cs="宋体"/>
          <w:color w:val="auto"/>
          <w:szCs w:val="21"/>
          <w:highlight w:val="none"/>
        </w:rPr>
      </w:pPr>
      <w:r>
        <w:rPr>
          <w:rFonts w:hint="eastAsia" w:ascii="宋体" w:hAnsi="宋体" w:cs="宋体"/>
          <w:color w:val="auto"/>
          <w:szCs w:val="21"/>
          <w:highlight w:val="none"/>
        </w:rPr>
        <w:t xml:space="preserve">23.1 本项目评标活动在江苏政府采购网“苏采云系统”进行。</w:t>
      </w:r>
      <w:r/>
    </w:p>
    <w:p>
      <w:pPr>
        <w:ind w:firstLine="420"/>
        <w:spacing w:line="460" w:lineRule="exact"/>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 xml:space="preserve">24、评标过程的保密性</w:t>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24.1 采购代理机构将采取必要措施，保证评标在严格保密的情况下进行。</w:t>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24.2 任何单位和个人不得非法干预、影响评标办法的确定，以及评标过程和结果。</w:t>
      </w:r>
      <w:r/>
    </w:p>
    <w:p>
      <w:pPr>
        <w:ind w:firstLine="420"/>
        <w:spacing w:line="460" w:lineRule="exact"/>
        <w:rPr>
          <w:rFonts w:hint="eastAsia" w:ascii="宋体" w:hAnsi="宋体" w:cs="宋体"/>
          <w:b/>
          <w:color w:val="auto"/>
          <w:szCs w:val="21"/>
          <w:highlight w:val="none"/>
        </w:rPr>
      </w:pPr>
      <w:r>
        <w:rPr>
          <w:rFonts w:hint="eastAsia" w:ascii="宋体" w:hAnsi="宋体" w:cs="宋体"/>
          <w:color w:val="auto"/>
          <w:szCs w:val="21"/>
          <w:highlight w:val="none"/>
          <w:lang w:val="zh-CN"/>
        </w:rPr>
        <w:t xml:space="preserve">24.3 凡是与审查、澄清、评价和比较投标的有关资料等，均不向供应商及与评标无关的其他人员透露。</w:t>
      </w:r>
      <w:r/>
    </w:p>
    <w:p>
      <w:pPr>
        <w:spacing w:line="460" w:lineRule="exact"/>
        <w:rPr>
          <w:rFonts w:hint="eastAsia" w:ascii="宋体" w:hAnsi="宋体" w:cs="宋体"/>
          <w:b/>
          <w:color w:val="auto"/>
          <w:szCs w:val="21"/>
          <w:highlight w:val="none"/>
        </w:rPr>
      </w:pPr>
      <w:r/>
      <w:bookmarkStart w:id="29" w:name="_Toc27897"/>
      <w:r/>
      <w:bookmarkStart w:id="30" w:name="_Toc28778"/>
      <w:r>
        <w:rPr>
          <w:rFonts w:hint="eastAsia" w:ascii="宋体" w:hAnsi="宋体" w:cs="宋体"/>
          <w:b/>
          <w:color w:val="auto"/>
          <w:szCs w:val="21"/>
          <w:highlight w:val="none"/>
        </w:rPr>
        <w:t xml:space="preserve">五、签订合同</w:t>
      </w:r>
      <w:bookmarkEnd w:id="29"/>
      <w:r/>
      <w:bookmarkEnd w:id="30"/>
      <w:r/>
      <w:r/>
    </w:p>
    <w:p>
      <w:pPr>
        <w:ind w:firstLine="420"/>
        <w:spacing w:line="46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25、签订合同</w:t>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25.1 采购人应当自中标通知书发出之日起30日内，按照采购文件和中标供应商投标文件的规定与中标供应商签订书面合同。所签订的合同不得对采购文件确定事项和中标供应商投标文件作实质性修改。</w:t>
      </w:r>
      <w:r/>
    </w:p>
    <w:p>
      <w:pPr>
        <w:ind w:firstLine="420"/>
        <w:spacing w:line="46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25.2</w:t>
      </w:r>
      <w:r>
        <w:rPr>
          <w:rFonts w:hint="eastAsia" w:ascii="宋体" w:hAnsi="宋体" w:cs="宋体"/>
          <w:color w:val="auto"/>
          <w:szCs w:val="21"/>
          <w:highlight w:val="none"/>
        </w:rPr>
        <w:t xml:space="preserve">采购人不得向中标</w:t>
      </w:r>
      <w:r>
        <w:rPr>
          <w:rFonts w:hint="eastAsia" w:ascii="宋体" w:hAnsi="宋体" w:cs="宋体"/>
          <w:color w:val="auto"/>
          <w:szCs w:val="21"/>
          <w:highlight w:val="none"/>
          <w:lang w:val="zh-CN"/>
        </w:rPr>
        <w:t xml:space="preserve">供应商</w:t>
      </w:r>
      <w:r>
        <w:rPr>
          <w:rFonts w:hint="eastAsia" w:ascii="宋体" w:hAnsi="宋体" w:cs="宋体"/>
          <w:color w:val="auto"/>
          <w:szCs w:val="21"/>
          <w:highlight w:val="none"/>
        </w:rPr>
        <w:t xml:space="preserve">提出任何不合理的要求作为签订合同的条件，不得与中标</w:t>
      </w:r>
      <w:r>
        <w:rPr>
          <w:rFonts w:hint="eastAsia" w:ascii="宋体" w:hAnsi="宋体" w:cs="宋体"/>
          <w:color w:val="auto"/>
          <w:szCs w:val="21"/>
          <w:highlight w:val="none"/>
          <w:lang w:val="zh-CN"/>
        </w:rPr>
        <w:t xml:space="preserve">供应商</w:t>
      </w:r>
      <w:r>
        <w:rPr>
          <w:rFonts w:hint="eastAsia" w:ascii="宋体" w:hAnsi="宋体" w:cs="宋体"/>
          <w:color w:val="auto"/>
          <w:szCs w:val="21"/>
          <w:highlight w:val="none"/>
        </w:rPr>
        <w:t xml:space="preserve">私下订立背离合同实质性内容的协议。</w:t>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25.3 中标供应商拒绝与采购人签订合同，或因不可抗力或者自身原因不能履行政府采购合同的，采购人可以按照评审报告中的得分高低顺序，确定下一顺序供应商为中标人，也可以重新开展政府采购活动。</w:t>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25.4 采购合同履行中，采购人需追加与合同标的相同货物的，在不改变合同其他条款的前提下，可以与供应商协商签订补充合同，但所有补充合同的采购金额不得超过原合同采购金额的百分之十。</w:t>
      </w:r>
      <w:r/>
    </w:p>
    <w:p>
      <w:pPr>
        <w:spacing w:line="460" w:lineRule="exact"/>
        <w:rPr>
          <w:rFonts w:hint="eastAsia" w:ascii="宋体" w:hAnsi="宋体" w:cs="宋体"/>
          <w:b/>
          <w:color w:val="auto"/>
          <w:szCs w:val="21"/>
          <w:highlight w:val="none"/>
        </w:rPr>
      </w:pPr>
      <w:r/>
      <w:bookmarkStart w:id="31" w:name="_Toc24260"/>
      <w:r/>
      <w:bookmarkStart w:id="32" w:name="_Toc10775"/>
      <w:r>
        <w:rPr>
          <w:rFonts w:hint="eastAsia" w:ascii="宋体" w:hAnsi="宋体" w:cs="宋体"/>
          <w:b/>
          <w:color w:val="auto"/>
          <w:szCs w:val="21"/>
          <w:highlight w:val="none"/>
        </w:rPr>
        <w:t xml:space="preserve">六、询问、质疑、投诉和诚实信用</w:t>
      </w:r>
      <w:bookmarkEnd w:id="31"/>
      <w:r/>
      <w:bookmarkEnd w:id="32"/>
      <w:r/>
      <w:r/>
    </w:p>
    <w:p>
      <w:pPr>
        <w:ind w:firstLine="420"/>
        <w:spacing w:line="46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26、询问</w:t>
      </w:r>
      <w:r/>
    </w:p>
    <w:p>
      <w:pPr>
        <w:ind w:firstLine="420"/>
        <w:spacing w:line="460" w:lineRule="exact"/>
        <w:rPr>
          <w:rFonts w:hint="eastAsia" w:ascii="宋体" w:hAnsi="宋体" w:cs="宋体"/>
          <w:b/>
          <w:color w:val="auto"/>
          <w:szCs w:val="21"/>
          <w:highlight w:val="none"/>
          <w:lang w:val="zh-CN"/>
        </w:rPr>
      </w:pPr>
      <w:r>
        <w:rPr>
          <w:rFonts w:hint="eastAsia" w:ascii="宋体" w:hAnsi="宋体" w:cs="宋体"/>
          <w:color w:val="auto"/>
          <w:szCs w:val="21"/>
          <w:highlight w:val="none"/>
          <w:lang w:val="zh-CN"/>
        </w:rPr>
        <w:t xml:space="preserve">26.1 供应商对采购活动事项有疑问的，可以向采购代理机构或采购人提出询问，采购代理机构或采购人将在两个工作日内作出答复，但答复的内容不涉及商业秘密</w:t>
      </w:r>
      <w:r>
        <w:rPr>
          <w:rFonts w:hint="eastAsia" w:ascii="宋体" w:hAnsi="宋体" w:cs="宋体"/>
          <w:b/>
          <w:color w:val="auto"/>
          <w:szCs w:val="21"/>
          <w:highlight w:val="none"/>
          <w:lang w:val="zh-CN"/>
        </w:rPr>
        <w:t xml:space="preserve">。</w:t>
      </w:r>
      <w:r/>
    </w:p>
    <w:p>
      <w:pPr>
        <w:ind w:firstLine="420"/>
        <w:spacing w:line="460" w:lineRule="exact"/>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 xml:space="preserve">27、质疑</w:t>
      </w:r>
      <w:r/>
    </w:p>
    <w:p>
      <w:pPr>
        <w:ind w:firstLine="420"/>
        <w:spacing w:line="460" w:lineRule="exact"/>
        <w:rPr>
          <w:rFonts w:hint="eastAsia" w:ascii="宋体" w:hAnsi="宋体" w:cs="宋体"/>
          <w:b/>
          <w:color w:val="auto"/>
          <w:szCs w:val="21"/>
          <w:highlight w:val="none"/>
          <w:lang w:val="zh-CN"/>
        </w:rPr>
      </w:pPr>
      <w:r>
        <w:rPr>
          <w:rFonts w:hint="eastAsia" w:ascii="宋体" w:hAnsi="宋体" w:cs="宋体"/>
          <w:color w:val="auto"/>
          <w:szCs w:val="21"/>
          <w:highlight w:val="none"/>
          <w:lang w:val="zh-CN"/>
        </w:rPr>
        <w:t xml:space="preserve">2</w:t>
      </w:r>
      <w:r>
        <w:rPr>
          <w:rFonts w:hint="eastAsia" w:ascii="宋体" w:hAnsi="宋体" w:cs="宋体"/>
          <w:color w:val="auto"/>
          <w:szCs w:val="21"/>
          <w:highlight w:val="none"/>
        </w:rPr>
        <w:t xml:space="preserve">7</w:t>
      </w:r>
      <w:r>
        <w:rPr>
          <w:rFonts w:hint="eastAsia" w:ascii="宋体" w:hAnsi="宋体" w:cs="宋体"/>
          <w:color w:val="auto"/>
          <w:szCs w:val="21"/>
          <w:highlight w:val="none"/>
          <w:lang w:val="zh-CN"/>
        </w:rPr>
        <w:t xml:space="preserve">.1 供应商对招标活动事项有疑问的，可以向采购代理机构提出询问，采购代理机构将依法作出答复，但答复的内容不涉及商业秘密。</w:t>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w:t>
      </w:r>
      <w:r>
        <w:rPr>
          <w:rFonts w:hint="eastAsia" w:ascii="宋体" w:hAnsi="宋体" w:cs="宋体"/>
          <w:color w:val="auto"/>
          <w:szCs w:val="21"/>
          <w:highlight w:val="none"/>
        </w:rPr>
        <w:t xml:space="preserve">7</w:t>
      </w:r>
      <w:r>
        <w:rPr>
          <w:rFonts w:hint="eastAsia" w:ascii="宋体" w:hAnsi="宋体" w:cs="宋体"/>
          <w:color w:val="auto"/>
          <w:szCs w:val="21"/>
          <w:highlight w:val="none"/>
          <w:lang w:val="zh-CN"/>
        </w:rPr>
        <w:t xml:space="preserve">.2 供应商认为采购文件、采购过程和成交结果使自己的合法权益受到损害的，可以在知道或者应当知道其权益受到损害之日起七个工作日内，将质疑文件原件送达采购代理机构。</w:t>
      </w:r>
      <w:r/>
    </w:p>
    <w:p>
      <w:pPr>
        <w:ind w:firstLine="420"/>
        <w:spacing w:line="46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2</w:t>
      </w:r>
      <w:r>
        <w:rPr>
          <w:rFonts w:hint="eastAsia" w:ascii="宋体" w:hAnsi="宋体" w:cs="宋体"/>
          <w:color w:val="auto"/>
          <w:szCs w:val="21"/>
          <w:highlight w:val="none"/>
        </w:rPr>
        <w:t xml:space="preserve">7</w:t>
      </w:r>
      <w:r>
        <w:rPr>
          <w:rFonts w:hint="eastAsia" w:ascii="宋体" w:hAnsi="宋体" w:cs="宋体"/>
          <w:color w:val="auto"/>
          <w:szCs w:val="21"/>
          <w:highlight w:val="none"/>
          <w:lang w:val="zh-CN"/>
        </w:rPr>
        <w:t xml:space="preserve">.3 质疑文件应包括以下主要内容，并</w:t>
      </w:r>
      <w:r>
        <w:rPr>
          <w:rFonts w:hint="eastAsia" w:ascii="宋体" w:hAnsi="宋体" w:cs="宋体"/>
          <w:color w:val="auto"/>
          <w:szCs w:val="21"/>
          <w:highlight w:val="none"/>
        </w:rPr>
        <w:t xml:space="preserve">按照“谁主张、谁举证”的原则，附上相关证明材料。否则，不予受理：</w:t>
      </w:r>
      <w:r/>
    </w:p>
    <w:p>
      <w:pPr>
        <w:ind w:left="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rPr>
        <w:t xml:space="preserve">（1）质疑项目名称、项目编号、包号、采购公告发布时间、开标时间；</w:t>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（2）具体的质疑事项及法律依据（具体条款）；</w:t>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（3）质疑相关证明文件或证明材料；</w:t>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（4）质疑供应商名称、地址、联系方式</w:t>
      </w:r>
      <w:r>
        <w:rPr>
          <w:rFonts w:hint="eastAsia" w:ascii="宋体" w:hAnsi="宋体" w:cs="宋体"/>
          <w:color w:val="auto"/>
          <w:szCs w:val="21"/>
          <w:highlight w:val="none"/>
        </w:rPr>
        <w:t xml:space="preserve">（包括手机、传真号码）</w:t>
      </w:r>
      <w:r>
        <w:rPr>
          <w:rFonts w:hint="eastAsia" w:ascii="宋体" w:hAnsi="宋体" w:cs="宋体"/>
          <w:color w:val="auto"/>
          <w:szCs w:val="21"/>
          <w:highlight w:val="none"/>
          <w:lang w:val="zh-CN"/>
        </w:rPr>
        <w:t xml:space="preserve">；</w:t>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（5）法定代表人</w:t>
      </w:r>
      <w:r>
        <w:rPr>
          <w:rFonts w:hint="eastAsia" w:ascii="宋体" w:hAnsi="宋体" w:cs="宋体"/>
          <w:color w:val="auto"/>
          <w:szCs w:val="21"/>
          <w:highlight w:val="none"/>
        </w:rPr>
        <w:t xml:space="preserve">签署本人姓名或印盖本人姓名章并加盖单位公章，</w:t>
      </w:r>
      <w:r>
        <w:rPr>
          <w:rFonts w:hint="eastAsia" w:ascii="宋体" w:hAnsi="宋体" w:cs="宋体"/>
          <w:color w:val="auto"/>
          <w:szCs w:val="21"/>
          <w:highlight w:val="none"/>
          <w:lang w:val="zh-CN"/>
        </w:rPr>
        <w:t xml:space="preserve">或</w:t>
      </w:r>
      <w:r>
        <w:rPr>
          <w:rFonts w:hint="eastAsia" w:ascii="宋体" w:hAnsi="宋体" w:cs="Trebuchet MS"/>
          <w:bCs/>
          <w:color w:val="auto"/>
          <w:szCs w:val="21"/>
          <w:highlight w:val="none"/>
          <w:shd w:val="clear" w:color="auto" w:fill="ffffff"/>
        </w:rPr>
        <w:t xml:space="preserve">法定代表人授权委托代理人加盖单位公章，并</w:t>
      </w:r>
      <w:r>
        <w:rPr>
          <w:rFonts w:hint="eastAsia" w:ascii="宋体" w:hAnsi="宋体" w:cs="宋体"/>
          <w:color w:val="auto"/>
          <w:szCs w:val="21"/>
          <w:highlight w:val="none"/>
        </w:rPr>
        <w:t xml:space="preserve">由参加采购项目的</w:t>
      </w:r>
      <w:r>
        <w:rPr>
          <w:rFonts w:hint="eastAsia" w:ascii="宋体" w:hAnsi="宋体" w:cs="宋体"/>
          <w:color w:val="auto"/>
          <w:szCs w:val="21"/>
          <w:highlight w:val="none"/>
          <w:lang w:val="zh-CN"/>
        </w:rPr>
        <w:t xml:space="preserve">授权委托代理人</w:t>
      </w:r>
      <w:r>
        <w:rPr>
          <w:rFonts w:hint="eastAsia" w:ascii="宋体" w:hAnsi="宋体" w:cs="宋体"/>
          <w:color w:val="auto"/>
          <w:szCs w:val="21"/>
          <w:highlight w:val="none"/>
        </w:rPr>
        <w:t xml:space="preserve">签署本人姓名或印盖本人姓名章</w:t>
      </w:r>
      <w:r>
        <w:rPr>
          <w:rFonts w:hint="eastAsia" w:ascii="宋体" w:hAnsi="宋体" w:cs="宋体"/>
          <w:color w:val="auto"/>
          <w:szCs w:val="21"/>
          <w:highlight w:val="none"/>
          <w:lang w:val="zh-CN"/>
        </w:rPr>
        <w:t xml:space="preserve">等。</w:t>
      </w:r>
      <w:r/>
    </w:p>
    <w:p>
      <w:pPr>
        <w:ind w:firstLine="420"/>
        <w:spacing w:line="46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2</w:t>
      </w:r>
      <w:r>
        <w:rPr>
          <w:rFonts w:hint="eastAsia" w:ascii="宋体" w:hAnsi="宋体" w:cs="宋体"/>
          <w:color w:val="auto"/>
          <w:szCs w:val="21"/>
          <w:highlight w:val="none"/>
        </w:rPr>
        <w:t xml:space="preserve">7</w:t>
      </w:r>
      <w:r>
        <w:rPr>
          <w:rFonts w:hint="eastAsia" w:ascii="宋体" w:hAnsi="宋体" w:cs="宋体"/>
          <w:color w:val="auto"/>
          <w:szCs w:val="21"/>
          <w:highlight w:val="none"/>
          <w:lang w:val="zh-CN"/>
        </w:rPr>
        <w:t xml:space="preserve">.4 供应商不得虚假质疑和恶意质疑，并对质疑内容的真实性承担责任。</w:t>
      </w:r>
      <w:r>
        <w:rPr>
          <w:rFonts w:hint="eastAsia" w:ascii="宋体" w:hAnsi="宋体" w:cs="宋体"/>
          <w:color w:val="auto"/>
          <w:szCs w:val="21"/>
          <w:highlight w:val="none"/>
        </w:rPr>
        <w:t xml:space="preserve">供应商或者其他利害关系人通过捏造事实、伪造证明材料等方式提出异议或投诉，阻碍政府采购活动正常进行的，属于严重不良行为，采购代理机构将提请财政部门将其列入不良行为记录名单，并依法予以处罚。</w:t>
      </w:r>
      <w:r/>
    </w:p>
    <w:p>
      <w:pPr>
        <w:ind w:firstLine="420"/>
        <w:spacing w:line="460" w:lineRule="exact"/>
        <w:rPr>
          <w:rFonts w:hint="eastAsia" w:ascii="宋体" w:hAnsi="宋体" w:cs="宋体"/>
          <w:color w:val="auto"/>
          <w:szCs w:val="21"/>
          <w:highlight w:val="none"/>
        </w:rPr>
      </w:pPr>
      <w:r>
        <w:rPr>
          <w:rFonts w:hint="eastAsia" w:ascii="宋体" w:hAnsi="宋体" w:cs="宋体"/>
          <w:color w:val="auto"/>
          <w:szCs w:val="21"/>
          <w:highlight w:val="none"/>
        </w:rPr>
        <w:t xml:space="preserve">27.5</w:t>
      </w:r>
      <w:r>
        <w:rPr>
          <w:rFonts w:ascii="宋体" w:hAnsi="宋体" w:cs="宋体"/>
          <w:color w:val="auto"/>
          <w:szCs w:val="21"/>
          <w:highlight w:val="none"/>
        </w:rPr>
        <w:t xml:space="preserve"> </w:t>
      </w:r>
      <w:r>
        <w:rPr>
          <w:rFonts w:hint="eastAsia" w:ascii="宋体" w:hAnsi="宋体" w:cs="宋体"/>
          <w:color w:val="auto"/>
          <w:szCs w:val="21"/>
          <w:highlight w:val="none"/>
        </w:rPr>
        <w:t xml:space="preserve">采购代理机构在收到供应商的书面质疑后将及时组织调查核实，在</w:t>
      </w:r>
      <w:r>
        <w:rPr>
          <w:rFonts w:hint="eastAsia" w:ascii="宋体" w:hAnsi="宋体" w:cs="宋体"/>
          <w:b/>
          <w:bCs/>
          <w:color w:val="auto"/>
          <w:szCs w:val="21"/>
          <w:highlight w:val="none"/>
          <w:lang w:val="zh-CN"/>
        </w:rPr>
        <w:t xml:space="preserve">七个工作日内</w:t>
      </w:r>
      <w:r>
        <w:rPr>
          <w:rFonts w:hint="eastAsia" w:ascii="宋体" w:hAnsi="宋体" w:cs="宋体"/>
          <w:color w:val="auto"/>
          <w:szCs w:val="21"/>
          <w:highlight w:val="none"/>
          <w:lang w:val="zh-CN"/>
        </w:rPr>
        <w:t xml:space="preserve">作出答复，并以书面或在网站公告形式通知质疑供应商和其他有关供应商，答复的内容不涉及商业秘密。采购</w:t>
      </w:r>
      <w:r>
        <w:rPr>
          <w:rFonts w:hint="eastAsia" w:ascii="宋体" w:hAnsi="宋体" w:cs="宋体"/>
          <w:color w:val="auto"/>
          <w:szCs w:val="21"/>
          <w:highlight w:val="none"/>
        </w:rPr>
        <w:t xml:space="preserve">代理机构遵循“谁过错谁负担”的原则，有过错的一方承担调查论证费用。</w:t>
      </w:r>
      <w:r/>
    </w:p>
    <w:p>
      <w:pPr>
        <w:ind w:firstLine="420"/>
        <w:spacing w:line="460" w:lineRule="exact"/>
        <w:rPr>
          <w:rFonts w:hint="eastAsia" w:ascii="宋体" w:hAnsi="宋体" w:cs="宋体"/>
          <w:color w:val="auto"/>
          <w:szCs w:val="21"/>
          <w:highlight w:val="none"/>
          <w:lang w:val="zh-CN"/>
        </w:rPr>
      </w:pPr>
      <w:r>
        <w:rPr>
          <w:rFonts w:hint="eastAsia" w:ascii="宋体" w:hAnsi="宋体" w:cs="宋体"/>
          <w:b/>
          <w:bCs/>
          <w:color w:val="auto"/>
          <w:szCs w:val="21"/>
          <w:highlight w:val="none"/>
          <w:lang w:val="zh-CN"/>
        </w:rPr>
        <w:t xml:space="preserve">28、投诉</w:t>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28.1 质疑供应商对采购</w:t>
      </w:r>
      <w:r>
        <w:rPr>
          <w:rFonts w:hint="eastAsia" w:ascii="宋体" w:hAnsi="宋体" w:cs="Trebuchet MS"/>
          <w:bCs/>
          <w:color w:val="auto"/>
          <w:szCs w:val="21"/>
          <w:highlight w:val="none"/>
          <w:shd w:val="clear" w:color="auto" w:fill="ffffff"/>
        </w:rPr>
        <w:t xml:space="preserve">单位或采购</w:t>
      </w:r>
      <w:r>
        <w:rPr>
          <w:rFonts w:hint="eastAsia" w:ascii="宋体" w:hAnsi="宋体" w:cs="宋体"/>
          <w:color w:val="auto"/>
          <w:szCs w:val="21"/>
          <w:highlight w:val="none"/>
          <w:lang w:val="zh-CN"/>
        </w:rPr>
        <w:t xml:space="preserve">代理</w:t>
      </w:r>
      <w:r>
        <w:rPr>
          <w:rFonts w:hint="eastAsia" w:ascii="宋体" w:hAnsi="宋体" w:cs="Trebuchet MS"/>
          <w:bCs/>
          <w:color w:val="auto"/>
          <w:szCs w:val="21"/>
          <w:highlight w:val="none"/>
          <w:shd w:val="clear" w:color="auto" w:fill="ffffff"/>
        </w:rPr>
        <w:t xml:space="preserve">机构</w:t>
      </w:r>
      <w:r>
        <w:rPr>
          <w:rFonts w:hint="eastAsia" w:ascii="宋体" w:hAnsi="宋体" w:cs="宋体"/>
          <w:color w:val="auto"/>
          <w:szCs w:val="21"/>
          <w:highlight w:val="none"/>
          <w:lang w:val="zh-CN"/>
        </w:rPr>
        <w:t xml:space="preserve">的答复不满意，或采购</w:t>
      </w:r>
      <w:r>
        <w:rPr>
          <w:rFonts w:hint="eastAsia" w:ascii="宋体" w:hAnsi="宋体" w:cs="Trebuchet MS"/>
          <w:bCs/>
          <w:color w:val="auto"/>
          <w:szCs w:val="21"/>
          <w:highlight w:val="none"/>
          <w:shd w:val="clear" w:color="auto" w:fill="ffffff"/>
        </w:rPr>
        <w:t xml:space="preserve">单位或采购</w:t>
      </w:r>
      <w:r>
        <w:rPr>
          <w:rFonts w:hint="eastAsia" w:ascii="宋体" w:hAnsi="宋体" w:cs="宋体"/>
          <w:color w:val="auto"/>
          <w:szCs w:val="21"/>
          <w:highlight w:val="none"/>
          <w:lang w:val="zh-CN"/>
        </w:rPr>
        <w:t xml:space="preserve">代理</w:t>
      </w:r>
      <w:r>
        <w:rPr>
          <w:rFonts w:hint="eastAsia" w:ascii="宋体" w:hAnsi="宋体" w:cs="Trebuchet MS"/>
          <w:bCs/>
          <w:color w:val="auto"/>
          <w:szCs w:val="21"/>
          <w:highlight w:val="none"/>
          <w:shd w:val="clear" w:color="auto" w:fill="ffffff"/>
        </w:rPr>
        <w:t xml:space="preserve">机构</w:t>
      </w:r>
      <w:r>
        <w:rPr>
          <w:rFonts w:hint="eastAsia" w:ascii="宋体" w:hAnsi="宋体" w:cs="宋体"/>
          <w:color w:val="auto"/>
          <w:szCs w:val="21"/>
          <w:highlight w:val="none"/>
          <w:lang w:val="zh-CN"/>
        </w:rPr>
        <w:t xml:space="preserve">未在规定的时间内作出答复的，可以在答复期满后</w:t>
      </w:r>
      <w:r>
        <w:rPr>
          <w:rFonts w:hint="eastAsia" w:ascii="宋体" w:hAnsi="宋体" w:cs="宋体"/>
          <w:b/>
          <w:bCs/>
          <w:color w:val="auto"/>
          <w:szCs w:val="21"/>
          <w:highlight w:val="none"/>
          <w:lang w:val="zh-CN"/>
        </w:rPr>
        <w:t xml:space="preserve">十五个工作日内</w:t>
      </w:r>
      <w:r>
        <w:rPr>
          <w:rFonts w:hint="eastAsia" w:ascii="宋体" w:hAnsi="宋体" w:cs="宋体"/>
          <w:color w:val="auto"/>
          <w:szCs w:val="21"/>
          <w:highlight w:val="none"/>
          <w:lang w:val="zh-CN"/>
        </w:rPr>
        <w:t xml:space="preserve">向采购项目同级政府采购监督管理部门投诉。</w:t>
      </w:r>
      <w:r/>
    </w:p>
    <w:p>
      <w:pPr>
        <w:ind w:firstLine="420"/>
        <w:spacing w:line="46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29、诚实信用</w:t>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lang w:val="zh-CN"/>
        </w:rPr>
        <w:t xml:space="preserve">.1供应商之间不得相互串通报价，不得妨碍其他供应商的公平竞争，不得损害</w:t>
      </w:r>
      <w:r>
        <w:rPr>
          <w:rFonts w:hint="eastAsia" w:ascii="宋体" w:hAnsi="宋体" w:cs="宋体"/>
          <w:color w:val="auto"/>
          <w:szCs w:val="21"/>
          <w:highlight w:val="none"/>
          <w:lang w:val="en-US" w:eastAsia="zh-CN"/>
        </w:rPr>
        <w:t xml:space="preserve">采购人</w:t>
      </w:r>
      <w:r>
        <w:rPr>
          <w:rFonts w:hint="eastAsia" w:ascii="宋体" w:hAnsi="宋体" w:cs="宋体"/>
          <w:color w:val="auto"/>
          <w:szCs w:val="21"/>
          <w:highlight w:val="none"/>
          <w:lang w:val="zh-CN"/>
        </w:rPr>
        <w:t xml:space="preserve">和其他供应商的合法权益。</w:t>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lang w:val="zh-CN"/>
        </w:rPr>
        <w:t xml:space="preserve">.2供应商不得以向代理机构工作人员、评标委员会成员行贿或者采取其他不正当手段谋取中标。经查实供应商有此行为的，政府采购管理部门将供应商列入不良行为记录名单，按照《政府采购法》有关规定处理。</w:t>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lang w:val="zh-CN"/>
        </w:rPr>
        <w:t xml:space="preserve">.3 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lang w:val="zh-CN"/>
        </w:rPr>
        <w:t xml:space="preserve">.4供应商不得虚假承诺，否则，按照提供虚假材料谋取中标成交处理。</w:t>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pStyle w:val="806"/>
        <w:rPr>
          <w:rFonts w:hint="eastAsia" w:ascii="宋体" w:hAnsi="宋体" w:cs="宋体"/>
          <w:b/>
          <w:bCs/>
          <w:color w:val="auto"/>
          <w:szCs w:val="36"/>
          <w:highlight w:val="none"/>
          <w:lang w:val="zh-CN"/>
        </w:rPr>
      </w:pPr>
      <w:r>
        <w:rPr>
          <w:rFonts w:ascii="宋体" w:hAnsi="宋体" w:cs="宋体"/>
          <w:color w:val="auto"/>
          <w:szCs w:val="36"/>
          <w:highlight w:val="none"/>
          <w:lang w:val="zh-CN"/>
        </w:rPr>
        <w:br w:type="page" w:clear="all"/>
      </w:r>
      <w:bookmarkStart w:id="33" w:name="_Toc6717"/>
      <w:r/>
      <w:bookmarkStart w:id="34" w:name="_Toc30052"/>
      <w:r/>
      <w:bookmarkStart w:id="35" w:name="_Toc16769"/>
      <w:r/>
      <w:bookmarkStart w:id="36" w:name="_Toc16325"/>
      <w:r>
        <w:rPr>
          <w:rFonts w:hint="eastAsia"/>
          <w:color w:val="auto"/>
          <w:lang w:val="zh-CN"/>
        </w:rPr>
        <w:t xml:space="preserve">第三章 评标标准</w:t>
      </w:r>
      <w:bookmarkEnd w:id="33"/>
      <w:r/>
      <w:bookmarkEnd w:id="34"/>
      <w:r/>
      <w:bookmarkEnd w:id="35"/>
      <w:r/>
      <w:bookmarkEnd w:id="36"/>
      <w:r/>
      <w:r/>
    </w:p>
    <w:p>
      <w:pPr>
        <w:numPr>
          <w:ilvl w:val="0"/>
          <w:numId w:val="2"/>
        </w:numPr>
        <w:spacing w:line="46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采用综合评分法</w:t>
      </w:r>
      <w:r/>
    </w:p>
    <w:p>
      <w:pPr>
        <w:ind w:firstLine="420"/>
        <w:spacing w:line="460" w:lineRule="exact"/>
        <w:rPr>
          <w:rFonts w:hint="eastAsia" w:ascii="宋体" w:hAnsi="宋体" w:cs="宋体"/>
          <w:color w:val="auto"/>
          <w:szCs w:val="21"/>
          <w:highlight w:val="none"/>
        </w:rPr>
      </w:pPr>
      <w:r>
        <w:rPr>
          <w:rFonts w:hint="eastAsia" w:ascii="宋体" w:hAnsi="宋体" w:cs="宋体"/>
          <w:color w:val="auto"/>
          <w:szCs w:val="21"/>
          <w:highlight w:val="none"/>
        </w:rPr>
        <w:t xml:space="preserve">采用综合评分法。综合评分法是指投标文件满足采购文件全部实质性要求，且按照采购文件中规定评审因素量化指标评审得分最高的供应商为中标候选人的评标方法。</w:t>
      </w:r>
      <w:r/>
    </w:p>
    <w:p>
      <w:pPr>
        <w:numPr>
          <w:ilvl w:val="0"/>
          <w:numId w:val="3"/>
        </w:numPr>
        <w:spacing w:line="460" w:lineRule="exact"/>
        <w:rPr>
          <w:rFonts w:hint="eastAsia" w:ascii="宋体" w:hAnsi="宋体" w:cs="宋体"/>
          <w:b/>
          <w:bCs/>
          <w:color w:val="auto"/>
          <w:szCs w:val="21"/>
          <w:highlight w:val="none"/>
        </w:rPr>
      </w:pPr>
      <w:r>
        <w:rPr>
          <w:rFonts w:ascii="宋体" w:hAnsi="宋体" w:cs="宋体"/>
          <w:b/>
          <w:bCs/>
          <w:color w:val="auto"/>
          <w:szCs w:val="21"/>
          <w:highlight w:val="none"/>
        </w:rPr>
        <w:t xml:space="preserve">综合评分法评审细则</w:t>
      </w:r>
      <w:bookmarkStart w:id="37" w:name="_Toc479586164"/>
      <w:r/>
      <w:bookmarkEnd w:id="37"/>
      <w:r/>
      <w:bookmarkStart w:id="38" w:name="_Toc25530"/>
      <w:r/>
      <w:bookmarkStart w:id="39" w:name="_Toc8691"/>
      <w:r/>
      <w:bookmarkStart w:id="40" w:name="_Toc8160"/>
      <w:r/>
      <w:r/>
    </w:p>
    <w:tbl>
      <w:tblPr>
        <w:tblStyle w:val="816"/>
        <w:tblW w:w="95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2"/>
        <w:gridCol w:w="1113"/>
        <w:gridCol w:w="6893"/>
        <w:gridCol w:w="776"/>
      </w:tblGrid>
      <w:tr>
        <w:trPr>
          <w:jc w:val="center"/>
        </w:trPr>
        <w:tc>
          <w:tcPr>
            <w:tcW w:w="792" w:type="dxa"/>
            <w:vAlign w:val="center"/>
            <w:textDirection w:val="lrTb"/>
            <w:noWrap w:val="false"/>
          </w:tcPr>
          <w:p>
            <w:pPr>
              <w:jc w:val="center"/>
              <w:spacing w:line="360" w:lineRule="auto"/>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1113" w:type="dxa"/>
            <w:vAlign w:val="center"/>
            <w:textDirection w:val="lrTb"/>
            <w:noWrap w:val="false"/>
          </w:tcPr>
          <w:p>
            <w:pPr>
              <w:jc w:val="center"/>
              <w:spacing w:line="360" w:lineRule="auto"/>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评审</w:t>
            </w:r>
            <w:r/>
          </w:p>
          <w:p>
            <w:pPr>
              <w:jc w:val="center"/>
              <w:spacing w:line="360" w:lineRule="auto"/>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因素</w:t>
            </w:r>
            <w:r/>
          </w:p>
        </w:tc>
        <w:tc>
          <w:tcPr>
            <w:tcW w:w="6893" w:type="dxa"/>
            <w:vAlign w:val="center"/>
            <w:textDirection w:val="lrTb"/>
            <w:noWrap w:val="false"/>
          </w:tcPr>
          <w:p>
            <w:pPr>
              <w:jc w:val="center"/>
              <w:spacing w:line="360" w:lineRule="auto"/>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评审标准</w:t>
            </w:r>
            <w:r/>
          </w:p>
        </w:tc>
        <w:tc>
          <w:tcPr>
            <w:tcW w:w="776" w:type="dxa"/>
            <w:vAlign w:val="center"/>
            <w:textDirection w:val="lrTb"/>
            <w:noWrap w:val="false"/>
          </w:tcPr>
          <w:p>
            <w:pPr>
              <w:jc w:val="center"/>
              <w:spacing w:line="360" w:lineRule="auto"/>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分值</w:t>
            </w:r>
            <w:r/>
          </w:p>
        </w:tc>
      </w:tr>
      <w:tr>
        <w:trPr>
          <w:jc w:val="center"/>
        </w:trPr>
        <w:tc>
          <w:tcPr>
            <w:tcW w:w="792" w:type="dxa"/>
            <w:vAlign w:val="center"/>
            <w:textDirection w:val="lrTb"/>
            <w:noWrap w:val="false"/>
          </w:tcPr>
          <w:p>
            <w:pPr>
              <w:jc w:val="center"/>
              <w:spacing w:line="360" w:lineRule="auto"/>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1</w:t>
            </w:r>
            <w:r/>
          </w:p>
        </w:tc>
        <w:tc>
          <w:tcPr>
            <w:tcW w:w="1113" w:type="dxa"/>
            <w:vAlign w:val="center"/>
            <w:textDirection w:val="lrTb"/>
            <w:noWrap w:val="false"/>
          </w:tcPr>
          <w:p>
            <w:pPr>
              <w:jc w:val="center"/>
              <w:spacing w:line="360" w:lineRule="auto"/>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价格</w:t>
            </w:r>
            <w:r/>
          </w:p>
          <w:p>
            <w:pPr>
              <w:jc w:val="center"/>
              <w:spacing w:line="360" w:lineRule="auto"/>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（20分）</w:t>
            </w:r>
            <w:r/>
          </w:p>
        </w:tc>
        <w:tc>
          <w:tcPr>
            <w:tcW w:w="689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采用低价优先法计算，即满足招标文件要求且投标价格最低的投标报价为评标基准价，其价格分为满分。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其他供应商的价格分统一按照下列公式计算（小数点保留两位）：</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投标报价得分=(评标基准价／投标报价)×20。</w:t>
            </w:r>
            <w:r/>
          </w:p>
        </w:tc>
        <w:tc>
          <w:tcPr>
            <w:tcW w:w="776" w:type="dxa"/>
            <w:vAlign w:val="center"/>
            <w:textDirection w:val="lrTb"/>
            <w:noWrap w:val="false"/>
          </w:tcPr>
          <w:p>
            <w:pPr>
              <w:jc w:val="center"/>
              <w:spacing w:line="360" w:lineRule="auto"/>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20</w:t>
            </w:r>
            <w:r/>
          </w:p>
        </w:tc>
      </w:tr>
      <w:tr>
        <w:trPr>
          <w:jc w:val="center"/>
        </w:trPr>
        <w:tc>
          <w:tcPr>
            <w:tcW w:w="792" w:type="dxa"/>
            <w:vAlign w:val="center"/>
            <w:textDirection w:val="lrTb"/>
            <w:noWrap w:val="false"/>
          </w:tcPr>
          <w:p>
            <w:pPr>
              <w:jc w:val="center"/>
              <w:spacing w:line="360" w:lineRule="auto"/>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2</w:t>
            </w:r>
            <w:r/>
          </w:p>
        </w:tc>
        <w:tc>
          <w:tcPr>
            <w:tcW w:w="1113"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工作实施方案</w:t>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（40分）</w:t>
            </w:r>
            <w:r/>
          </w:p>
        </w:tc>
        <w:tc>
          <w:tcPr>
            <w:tcW w:w="6893" w:type="dxa"/>
            <w:vAlign w:val="center"/>
            <w:textDirection w:val="lrTb"/>
            <w:noWrap w:val="false"/>
          </w:tcPr>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（1）评委根据供应商提交的工作方案总体的科学性和完整性、针对性等方面进行评分：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投标总体技术方案、项目组织方案框架完整内容充实、作业技术流程合理、完整、有针对性，实施计划安排合理可行得10分；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投标总体技术方案、项目组织方案框架较完整、作业技术流程较合理可行，实施计划较可行得9分；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投标总体技术方案、项目组织方案框架较简单、作业技术流程、实施计划较简单得8分；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投标总体技术方案、项目组织方案框架内容片面、作业技术流程较片面得7分；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未提供或有重大偏差不得分。</w:t>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lang w:val="zh-CN"/>
              </w:rPr>
              <w:t xml:space="preserve">（2）</w:t>
            </w:r>
            <w:r>
              <w:rPr>
                <w:rFonts w:hint="eastAsia" w:ascii="宋体" w:hAnsi="宋体" w:cs="宋体"/>
                <w:b/>
                <w:bCs/>
                <w:color w:val="auto"/>
                <w:szCs w:val="21"/>
                <w:highlight w:val="none"/>
              </w:rPr>
              <w:t xml:space="preserve">评委对供应商制定的道路养护方案、秩序维护方案、各类设施维护和使用方案的可行性、先进性、合理性、针对性等方面进行评分：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供应商制定的道路养护方案、秩序维护方案、各类设施维护和使用方案完整全面、可行、先进、合理、有针对性得10分；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供应商制定的道路养护方案、秩序维护方案、各类设施维护和使用方案较可行合理、较有针对性得9分；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供应商制定的道路养护方案、秩序维护方案、各类设施维护和使用方案较简单得8分；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供应商制定的道路养护方案、秩序维护方案、各类设施维护和使用方案较片面得7分；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未提供或有重大偏差不得分。</w:t>
            </w:r>
            <w:r/>
          </w:p>
          <w:p>
            <w:pPr>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（3）评委根据投标人提供的应急保障措施、安全保障措施、质量保障措施等方面进行评分：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供应商制定的</w:t>
            </w:r>
            <w:r>
              <w:rPr>
                <w:rFonts w:hint="eastAsia" w:ascii="宋体" w:hAnsi="宋体" w:cs="宋体"/>
                <w:color w:val="auto"/>
                <w:szCs w:val="21"/>
                <w:highlight w:val="none"/>
                <w:lang w:val="zh-CN"/>
              </w:rPr>
              <w:t xml:space="preserve">应急保障措施、安全保障措施、质量保障措施</w:t>
            </w:r>
            <w:r>
              <w:rPr>
                <w:rFonts w:hint="eastAsia" w:ascii="宋体" w:hAnsi="宋体" w:cs="宋体"/>
                <w:color w:val="auto"/>
                <w:szCs w:val="21"/>
                <w:highlight w:val="none"/>
              </w:rPr>
              <w:t xml:space="preserve">可行、先进、合理、有针对性得8分；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供应商制定的</w:t>
            </w:r>
            <w:r>
              <w:rPr>
                <w:rFonts w:hint="eastAsia" w:ascii="宋体" w:hAnsi="宋体" w:cs="宋体"/>
                <w:color w:val="auto"/>
                <w:szCs w:val="21"/>
                <w:highlight w:val="none"/>
                <w:lang w:val="zh-CN"/>
              </w:rPr>
              <w:t xml:space="preserve">应急保障措施、安全保障措施、质量保障措施</w:t>
            </w:r>
            <w:r>
              <w:rPr>
                <w:rFonts w:hint="eastAsia" w:ascii="宋体" w:hAnsi="宋体" w:cs="宋体"/>
                <w:color w:val="auto"/>
                <w:szCs w:val="21"/>
                <w:highlight w:val="none"/>
              </w:rPr>
              <w:t xml:space="preserve">较可行、较合理得7.2分；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供应商制定的</w:t>
            </w:r>
            <w:r>
              <w:rPr>
                <w:rFonts w:hint="eastAsia" w:ascii="宋体" w:hAnsi="宋体" w:cs="宋体"/>
                <w:color w:val="auto"/>
                <w:szCs w:val="21"/>
                <w:highlight w:val="none"/>
                <w:lang w:val="zh-CN"/>
              </w:rPr>
              <w:t xml:space="preserve">应急保障措施、安全保障措施、质量保障措施</w:t>
            </w:r>
            <w:r>
              <w:rPr>
                <w:rFonts w:hint="eastAsia" w:ascii="宋体" w:hAnsi="宋体" w:cs="宋体"/>
                <w:color w:val="auto"/>
                <w:szCs w:val="21"/>
                <w:highlight w:val="none"/>
              </w:rPr>
              <w:t xml:space="preserve">施较简单得6.4分；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供应商制定的</w:t>
            </w:r>
            <w:r>
              <w:rPr>
                <w:rFonts w:hint="eastAsia" w:ascii="宋体" w:hAnsi="宋体" w:cs="宋体"/>
                <w:color w:val="auto"/>
                <w:szCs w:val="21"/>
                <w:highlight w:val="none"/>
                <w:lang w:val="zh-CN"/>
              </w:rPr>
              <w:t xml:space="preserve">应急保障措施、安全保障措施、质量保障措施</w:t>
            </w:r>
            <w:r>
              <w:rPr>
                <w:rFonts w:hint="eastAsia" w:ascii="宋体" w:hAnsi="宋体" w:cs="宋体"/>
                <w:color w:val="auto"/>
                <w:szCs w:val="21"/>
                <w:highlight w:val="none"/>
              </w:rPr>
              <w:t xml:space="preserve">较片面得5.6分；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未提供或有重大偏差不得分。</w:t>
            </w:r>
            <w:r/>
          </w:p>
          <w:p>
            <w:pPr>
              <w:spacing w:line="360" w:lineRule="auto"/>
              <w:rPr>
                <w:rFonts w:hint="eastAsia" w:ascii="宋体" w:hAnsi="宋体" w:cs="宋体"/>
                <w:color w:val="auto"/>
                <w:szCs w:val="21"/>
                <w:highlight w:val="none"/>
                <w:lang w:val="zh-CN"/>
              </w:rPr>
            </w:pPr>
            <w:r>
              <w:rPr>
                <w:rFonts w:hint="eastAsia" w:ascii="宋体" w:hAnsi="宋体" w:cs="宋体"/>
                <w:b/>
                <w:bCs/>
                <w:color w:val="auto"/>
                <w:szCs w:val="21"/>
                <w:highlight w:val="none"/>
                <w:lang w:val="zh-CN"/>
              </w:rPr>
              <w:t xml:space="preserve">（4）评委根据投标人提供的本项目的方案，对其重点、难点问题的认识及对策进行阐述分析等方面进行评分：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对采购项目的特点、关键技术问题、重难点的认识深刻全面，相应对策措施合理可行，得8分；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对采购项目的特点、关键技术问题、重难点的认识全面，相应对策措施较为合理可行，得7.2分；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对采购项目的特点、关键技术问题、重难点的认识较为简单，得6.4分；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重点、难点问题方案简单有瑕疵、不具备履行本项目的，得5.6分；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未提供或有重大偏差不得分。</w:t>
            </w:r>
            <w:r/>
          </w:p>
          <w:p>
            <w:pPr>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rPr>
              <w:t xml:space="preserve">5</w:t>
            </w:r>
            <w:r>
              <w:rPr>
                <w:rFonts w:hint="eastAsia" w:ascii="宋体" w:hAnsi="宋体" w:cs="宋体"/>
                <w:b/>
                <w:bCs/>
                <w:color w:val="auto"/>
                <w:szCs w:val="21"/>
                <w:highlight w:val="none"/>
                <w:lang w:val="zh-CN"/>
              </w:rPr>
              <w:t xml:space="preserve">）根据供应商提供的后续服务安排及应急保证措施等方面进行评分：</w:t>
            </w:r>
            <w:r/>
          </w:p>
          <w:p>
            <w:pPr>
              <w:spacing w:line="360" w:lineRule="auto"/>
              <w:rPr>
                <w:color w:val="auto"/>
                <w:highlight w:val="none"/>
              </w:rPr>
            </w:pPr>
            <w:r>
              <w:rPr>
                <w:rFonts w:hint="eastAsia"/>
                <w:color w:val="auto"/>
                <w:highlight w:val="none"/>
              </w:rPr>
              <w:t xml:space="preserve">供应商应设置维修养护生产工区及办公区域，满足区域内维修养护工作的要求</w:t>
            </w:r>
            <w:r>
              <w:rPr>
                <w:rFonts w:hint="eastAsia" w:ascii="宋体" w:hAnsi="宋体" w:cs="宋体"/>
                <w:color w:val="auto"/>
                <w:szCs w:val="21"/>
                <w:highlight w:val="none"/>
              </w:rPr>
              <w:t xml:space="preserve">合理可行，</w:t>
            </w:r>
            <w:r>
              <w:rPr>
                <w:rFonts w:hint="eastAsia"/>
                <w:color w:val="auto"/>
                <w:highlight w:val="none"/>
              </w:rPr>
              <w:t xml:space="preserve">最高得4分；</w:t>
            </w:r>
            <w:r/>
          </w:p>
          <w:p>
            <w:pPr>
              <w:spacing w:line="360" w:lineRule="auto"/>
              <w:rPr>
                <w:rFonts w:hint="eastAsia" w:ascii="宋体" w:hAnsi="宋体" w:cs="宋体"/>
                <w:color w:val="auto"/>
                <w:szCs w:val="21"/>
                <w:highlight w:val="none"/>
              </w:rPr>
            </w:pPr>
            <w:r>
              <w:rPr>
                <w:rFonts w:hint="eastAsia"/>
                <w:color w:val="auto"/>
                <w:highlight w:val="none"/>
              </w:rPr>
              <w:t xml:space="preserve">供应商应设置维修养护生产工区及办公区域，满足区域内维修养护工作的要求</w:t>
            </w:r>
            <w:r>
              <w:rPr>
                <w:rFonts w:hint="eastAsia" w:ascii="宋体" w:hAnsi="宋体" w:cs="宋体"/>
                <w:color w:val="auto"/>
                <w:szCs w:val="21"/>
                <w:highlight w:val="none"/>
              </w:rPr>
              <w:t xml:space="preserve">较为合理可行，得3.6分；</w:t>
            </w:r>
            <w:r/>
          </w:p>
          <w:p>
            <w:pPr>
              <w:spacing w:line="360" w:lineRule="auto"/>
              <w:rPr>
                <w:rFonts w:hint="eastAsia" w:ascii="宋体" w:hAnsi="宋体" w:cs="宋体"/>
                <w:color w:val="auto"/>
                <w:szCs w:val="21"/>
                <w:highlight w:val="none"/>
              </w:rPr>
            </w:pPr>
            <w:r>
              <w:rPr>
                <w:rFonts w:hint="eastAsia"/>
                <w:color w:val="auto"/>
                <w:highlight w:val="none"/>
              </w:rPr>
              <w:t xml:space="preserve">供应商应设置维修养护生产工区及办公区域，满足区域内维修养护工作的要求</w:t>
            </w:r>
            <w:r>
              <w:rPr>
                <w:rFonts w:hint="eastAsia" w:ascii="宋体" w:hAnsi="宋体" w:cs="宋体"/>
                <w:color w:val="auto"/>
                <w:szCs w:val="21"/>
                <w:highlight w:val="none"/>
              </w:rPr>
              <w:t xml:space="preserve">简单可行，得3.2分；</w:t>
            </w:r>
            <w:r/>
          </w:p>
          <w:p>
            <w:pPr>
              <w:spacing w:line="360" w:lineRule="auto"/>
              <w:rPr>
                <w:rFonts w:hint="eastAsia" w:ascii="宋体" w:hAnsi="宋体" w:cs="宋体"/>
                <w:color w:val="auto"/>
                <w:szCs w:val="21"/>
                <w:highlight w:val="none"/>
              </w:rPr>
            </w:pPr>
            <w:r>
              <w:rPr>
                <w:rFonts w:hint="eastAsia"/>
                <w:color w:val="auto"/>
                <w:highlight w:val="none"/>
              </w:rPr>
              <w:t xml:space="preserve">供应商应设置维修养护生产工区及办公区域，满足区域内维修养护工作的要求</w:t>
            </w:r>
            <w:r>
              <w:rPr>
                <w:rFonts w:hint="eastAsia" w:ascii="宋体" w:hAnsi="宋体" w:cs="宋体"/>
                <w:color w:val="auto"/>
                <w:szCs w:val="21"/>
                <w:highlight w:val="none"/>
              </w:rPr>
              <w:t xml:space="preserve">片面简单的，得2.8分；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未提供或有重大偏差不得分。</w:t>
            </w:r>
            <w:r/>
          </w:p>
        </w:tc>
        <w:tc>
          <w:tcPr>
            <w:tcW w:w="776" w:type="dxa"/>
            <w:vAlign w:val="center"/>
            <w:textDirection w:val="lrTb"/>
            <w:noWrap w:val="false"/>
          </w:tcPr>
          <w:p>
            <w:pPr>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40</w:t>
            </w:r>
            <w:r/>
          </w:p>
        </w:tc>
      </w:tr>
      <w:tr>
        <w:trPr>
          <w:jc w:val="center"/>
        </w:trPr>
        <w:tc>
          <w:tcPr>
            <w:tcW w:w="792"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3</w:t>
            </w:r>
            <w:r/>
          </w:p>
        </w:tc>
        <w:tc>
          <w:tcPr>
            <w:tcW w:w="1113" w:type="dxa"/>
            <w:vAlign w:val="center"/>
            <w:textDirection w:val="lrTb"/>
            <w:noWrap w:val="false"/>
          </w:tcPr>
          <w:p>
            <w:pPr>
              <w:ind w:firstLine="211"/>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业绩</w:t>
            </w:r>
            <w:r/>
          </w:p>
          <w:p>
            <w:pPr>
              <w:spacing w:line="360" w:lineRule="auto"/>
              <w:rPr>
                <w:rFonts w:hint="eastAsia" w:ascii="宋体" w:hAnsi="宋体" w:cs="宋体"/>
                <w:b/>
                <w:color w:val="auto"/>
                <w:szCs w:val="21"/>
                <w:highlight w:val="none"/>
              </w:rPr>
            </w:pPr>
            <w:r>
              <w:rPr>
                <w:rFonts w:hint="eastAsia" w:ascii="宋体" w:hAnsi="宋体" w:cs="宋体"/>
                <w:b/>
                <w:bCs/>
                <w:color w:val="auto"/>
                <w:szCs w:val="21"/>
                <w:highlight w:val="none"/>
              </w:rPr>
              <w:t xml:space="preserve">（9分）</w:t>
            </w:r>
            <w:r/>
          </w:p>
        </w:tc>
        <w:tc>
          <w:tcPr>
            <w:tcW w:w="689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供应商自2</w:t>
            </w:r>
            <w:r>
              <w:rPr>
                <w:rFonts w:ascii="宋体" w:hAnsi="宋体" w:cs="宋体"/>
                <w:color w:val="auto"/>
                <w:szCs w:val="21"/>
                <w:highlight w:val="none"/>
              </w:rPr>
              <w:t xml:space="preserve">0</w:t>
            </w:r>
            <w:r>
              <w:rPr>
                <w:rFonts w:hint="eastAsia" w:ascii="宋体" w:hAnsi="宋体" w:cs="宋体"/>
                <w:color w:val="auto"/>
                <w:szCs w:val="21"/>
                <w:highlight w:val="none"/>
              </w:rPr>
              <w:t xml:space="preserve">21年1月1日（含）以来（时间以合同签订时间为准）承接过本项目类似日常养护服务业绩（需包含路基、路面、桥梁、涵洞、绿化两种及以上类型），每提供一个得3分，满分9分。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（提供合同和中标通知书（或成交通知书）扫描件并加盖电子公章。提供的证明材料须能清楚的反应相关数据和内容，否则视为未提供不得分，</w:t>
            </w:r>
            <w:r>
              <w:rPr>
                <w:rFonts w:hint="eastAsia"/>
                <w:color w:val="auto"/>
              </w:rPr>
              <w:t xml:space="preserve">供应商企业业绩、项目负责人业绩</w:t>
            </w:r>
            <w:r>
              <w:rPr>
                <w:rFonts w:hint="eastAsia" w:ascii="宋体" w:hAnsi="宋体" w:cs="宋体"/>
                <w:color w:val="auto"/>
                <w:szCs w:val="21"/>
                <w:highlight w:val="none"/>
              </w:rPr>
              <w:t xml:space="preserve">不重复计分）</w:t>
            </w:r>
            <w:r/>
          </w:p>
        </w:tc>
        <w:tc>
          <w:tcPr>
            <w:tcW w:w="776" w:type="dxa"/>
            <w:vAlign w:val="center"/>
            <w:textDirection w:val="lrTb"/>
            <w:noWrap w:val="false"/>
          </w:tcPr>
          <w:p>
            <w:pPr>
              <w:jc w:val="center"/>
              <w:spacing w:line="360" w:lineRule="auto"/>
              <w:widowControl/>
              <w:rPr>
                <w:rFonts w:hint="eastAsia" w:ascii="宋体" w:hAnsi="宋体" w:cs="宋体"/>
                <w:b/>
                <w:bCs/>
                <w:color w:val="auto"/>
                <w:szCs w:val="21"/>
                <w:highlight w:val="none"/>
                <w:shd w:val="clear" w:color="auto" w:fill="ffffff"/>
              </w:rPr>
            </w:pPr>
            <w:r>
              <w:rPr>
                <w:rFonts w:hint="eastAsia" w:ascii="宋体" w:hAnsi="宋体" w:cs="宋体"/>
                <w:b/>
                <w:bCs/>
                <w:color w:val="auto"/>
                <w:szCs w:val="21"/>
                <w:highlight w:val="none"/>
                <w:shd w:val="clear" w:color="auto" w:fill="ffffff"/>
              </w:rPr>
              <w:t xml:space="preserve">9</w:t>
            </w:r>
            <w:r/>
          </w:p>
        </w:tc>
      </w:tr>
      <w:tr>
        <w:trPr>
          <w:jc w:val="center"/>
        </w:trPr>
        <w:tc>
          <w:tcPr>
            <w:tcW w:w="792"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4</w:t>
            </w:r>
            <w:r/>
          </w:p>
        </w:tc>
        <w:tc>
          <w:tcPr>
            <w:tcW w:w="1113" w:type="dxa"/>
            <w:vAlign w:val="center"/>
            <w:textDirection w:val="lrTb"/>
            <w:noWrap w:val="false"/>
          </w:tcPr>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项目组成员要求（19分）</w:t>
            </w:r>
            <w:r/>
          </w:p>
        </w:tc>
        <w:tc>
          <w:tcPr>
            <w:tcW w:w="6893" w:type="dxa"/>
            <w:vAlign w:val="center"/>
            <w:textDirection w:val="lrTb"/>
            <w:noWrap w:val="false"/>
          </w:tcPr>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1、项目</w:t>
            </w:r>
            <w:r>
              <w:rPr>
                <w:rFonts w:hint="eastAsia" w:ascii="宋体" w:hAnsi="宋体" w:cs="宋体"/>
                <w:color w:val="auto"/>
                <w:szCs w:val="21"/>
                <w:highlight w:val="none"/>
                <w:lang w:val="en-US" w:eastAsia="zh-CN"/>
              </w:rPr>
              <w:t xml:space="preserve">总工</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具有</w:t>
            </w:r>
            <w:r>
              <w:rPr>
                <w:rFonts w:hint="eastAsia" w:ascii="宋体" w:hAnsi="宋体" w:cs="宋体"/>
                <w:color w:val="auto"/>
                <w:szCs w:val="21"/>
                <w:highlight w:val="none"/>
              </w:rPr>
              <w:t xml:space="preserve">中级工程师</w:t>
            </w:r>
            <w:r>
              <w:rPr>
                <w:rFonts w:hint="eastAsia" w:ascii="宋体" w:hAnsi="宋体" w:cs="宋体"/>
                <w:color w:val="auto"/>
                <w:szCs w:val="21"/>
                <w:highlight w:val="none"/>
                <w:lang w:val="en-US" w:eastAsia="zh-CN"/>
              </w:rPr>
              <w:t xml:space="preserve">职称证书得0.5分；</w:t>
            </w:r>
            <w:r>
              <w:rPr>
                <w:rFonts w:ascii="宋体" w:hAnsi="宋体" w:cs="宋体"/>
                <w:color w:val="auto"/>
                <w:szCs w:val="21"/>
                <w:highlight w:val="none"/>
              </w:rPr>
              <w:t xml:space="preserve">具有高级工程师及以上职称证书的</w:t>
            </w:r>
            <w:r>
              <w:rPr>
                <w:rFonts w:hint="eastAsia" w:ascii="宋体" w:hAnsi="宋体" w:cs="宋体"/>
                <w:color w:val="auto"/>
                <w:szCs w:val="21"/>
                <w:highlight w:val="none"/>
                <w:lang w:val="en-US" w:eastAsia="zh-CN"/>
              </w:rPr>
              <w:t xml:space="preserve">得</w:t>
            </w:r>
            <w:r>
              <w:rPr>
                <w:rFonts w:hint="eastAsia" w:ascii="宋体" w:hAnsi="宋体" w:cs="宋体"/>
                <w:color w:val="auto"/>
                <w:szCs w:val="21"/>
                <w:highlight w:val="none"/>
              </w:rPr>
              <w:t xml:space="preserve">1</w:t>
            </w:r>
            <w:r>
              <w:rPr>
                <w:rFonts w:ascii="宋体" w:hAnsi="宋体" w:cs="宋体"/>
                <w:color w:val="auto"/>
                <w:szCs w:val="21"/>
                <w:highlight w:val="none"/>
              </w:rPr>
              <w:t xml:space="preserve">分</w:t>
            </w:r>
            <w:r>
              <w:rPr>
                <w:rFonts w:hint="eastAsia" w:ascii="宋体" w:hAnsi="宋体" w:cs="宋体"/>
                <w:color w:val="auto"/>
                <w:szCs w:val="21"/>
                <w:highlight w:val="none"/>
              </w:rPr>
              <w:t xml:space="preserve">。</w:t>
            </w:r>
            <w:r/>
          </w:p>
          <w:p>
            <w:pPr>
              <w:pStyle w:val="845"/>
              <w:ind w:firstLine="0"/>
              <w:rPr>
                <w:rFonts w:hint="eastAsia"/>
                <w:color w:val="auto"/>
                <w:sz w:val="21"/>
                <w:highlight w:val="none"/>
              </w:rPr>
            </w:pPr>
            <w:r>
              <w:rPr>
                <w:rFonts w:hint="eastAsia"/>
                <w:color w:val="auto"/>
                <w:sz w:val="21"/>
                <w:highlight w:val="none"/>
              </w:rPr>
              <w:t xml:space="preserve">2、其他人员：供应商拟派人员（不含项目负责人、</w:t>
            </w:r>
            <w:r>
              <w:rPr>
                <w:rFonts w:hint="eastAsia"/>
                <w:color w:val="auto"/>
                <w:sz w:val="21"/>
                <w:highlight w:val="none"/>
                <w:lang w:val="en-US" w:eastAsia="zh-CN"/>
              </w:rPr>
              <w:t xml:space="preserve">总工</w:t>
            </w:r>
            <w:r>
              <w:rPr>
                <w:rFonts w:hint="eastAsia"/>
                <w:color w:val="auto"/>
                <w:sz w:val="21"/>
                <w:highlight w:val="none"/>
              </w:rPr>
              <w:t xml:space="preserve">）具备交通工程或道路或者桥梁专业中级工程师及以上职称证的每有一位得2分，满分6分。</w:t>
            </w:r>
            <w:r/>
          </w:p>
          <w:p>
            <w:pPr>
              <w:pStyle w:val="845"/>
              <w:ind w:firstLine="0"/>
              <w:rPr>
                <w:rFonts w:hint="eastAsia"/>
                <w:color w:val="auto"/>
                <w:sz w:val="21"/>
                <w:highlight w:val="none"/>
              </w:rPr>
            </w:pPr>
            <w:r>
              <w:rPr>
                <w:rFonts w:hint="eastAsia"/>
                <w:color w:val="auto"/>
                <w:sz w:val="21"/>
                <w:highlight w:val="none"/>
              </w:rPr>
              <w:t xml:space="preserve">3、供应商拟派人员具备公路养护高级工证的每有一位得 2分，满分12分。</w:t>
            </w:r>
            <w:r/>
          </w:p>
          <w:p>
            <w:pPr>
              <w:spacing w:line="360" w:lineRule="auto"/>
              <w:rPr>
                <w:rFonts w:hint="eastAsia" w:ascii="宋体" w:hAnsi="宋体" w:cs="宋体"/>
                <w:color w:val="auto"/>
                <w:szCs w:val="21"/>
                <w:highlight w:val="none"/>
              </w:rPr>
            </w:pPr>
            <w:r>
              <w:rPr>
                <w:color w:val="auto"/>
                <w:highlight w:val="none"/>
              </w:rPr>
              <w:t xml:space="preserve">注：人员证书须提供有效的证书，且证书须注册在本公司。另须提供：供应商为其缴纳的近半年来任意一个月的养老保险金缴费证明材料（并加盖社保中心章或社保中心参保缴费证明电子专用章），证明材料须加盖电子公章</w:t>
            </w:r>
            <w:r/>
          </w:p>
        </w:tc>
        <w:tc>
          <w:tcPr>
            <w:tcW w:w="776" w:type="dxa"/>
            <w:vAlign w:val="center"/>
            <w:textDirection w:val="lrTb"/>
            <w:noWrap w:val="false"/>
          </w:tcPr>
          <w:p>
            <w:pPr>
              <w:jc w:val="center"/>
              <w:spacing w:line="360" w:lineRule="auto"/>
              <w:widowControl/>
              <w:rPr>
                <w:rFonts w:hint="eastAsia" w:ascii="宋体" w:hAnsi="宋体" w:cs="宋体"/>
                <w:b/>
                <w:bCs/>
                <w:color w:val="auto"/>
                <w:szCs w:val="21"/>
                <w:highlight w:val="none"/>
                <w:shd w:val="clear" w:color="auto" w:fill="ffffff"/>
              </w:rPr>
            </w:pPr>
            <w:r>
              <w:rPr>
                <w:rFonts w:hint="eastAsia" w:ascii="宋体" w:hAnsi="宋体" w:cs="宋体"/>
                <w:b/>
                <w:bCs/>
                <w:color w:val="auto"/>
                <w:szCs w:val="21"/>
                <w:highlight w:val="none"/>
                <w:shd w:val="clear" w:color="auto" w:fill="ffffff"/>
              </w:rPr>
              <w:t xml:space="preserve">19</w:t>
            </w:r>
            <w:r/>
          </w:p>
        </w:tc>
      </w:tr>
      <w:tr>
        <w:trPr>
          <w:jc w:val="center"/>
        </w:trPr>
        <w:tc>
          <w:tcPr>
            <w:tcW w:w="792"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5</w:t>
            </w:r>
            <w:r/>
          </w:p>
        </w:tc>
        <w:tc>
          <w:tcPr>
            <w:tcW w:w="1113" w:type="dxa"/>
            <w:vAlign w:val="center"/>
            <w:textDirection w:val="lrTb"/>
            <w:noWrap w:val="false"/>
          </w:tcPr>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拟投入本项目的机械设备配置情况（12分）</w:t>
            </w:r>
            <w:r/>
          </w:p>
        </w:tc>
        <w:tc>
          <w:tcPr>
            <w:tcW w:w="6893" w:type="dxa"/>
            <w:vAlign w:val="center"/>
            <w:textDirection w:val="lrTb"/>
            <w:noWrap w:val="false"/>
          </w:tcPr>
          <w:p>
            <w:pPr>
              <w:pStyle w:val="845"/>
              <w:ind w:firstLine="0"/>
              <w:rPr>
                <w:rFonts w:hint="eastAsia"/>
                <w:color w:val="auto"/>
                <w:sz w:val="21"/>
                <w:highlight w:val="none"/>
              </w:rPr>
            </w:pPr>
            <w:r>
              <w:rPr>
                <w:rFonts w:hint="eastAsia"/>
                <w:color w:val="auto"/>
                <w:sz w:val="21"/>
                <w:highlight w:val="none"/>
              </w:rPr>
              <w:t xml:space="preserve">供应商需提供以下车辆设备作为本项目的基本要求：</w:t>
            </w:r>
            <w:r/>
          </w:p>
          <w:p>
            <w:pPr>
              <w:pStyle w:val="845"/>
              <w:ind w:firstLine="0"/>
              <w:rPr>
                <w:rFonts w:hint="eastAsia"/>
                <w:color w:val="auto"/>
                <w:sz w:val="21"/>
                <w:highlight w:val="none"/>
              </w:rPr>
            </w:pPr>
            <w:r>
              <w:rPr>
                <w:rFonts w:hint="eastAsia"/>
                <w:color w:val="auto"/>
                <w:sz w:val="21"/>
                <w:highlight w:val="none"/>
              </w:rPr>
              <w:t xml:space="preserve">1）总质量10吨及以上清洗车2台，自有1辆得2分，租赁1辆得1分，共4分；</w:t>
            </w:r>
            <w:r/>
          </w:p>
          <w:p>
            <w:pPr>
              <w:pStyle w:val="845"/>
              <w:ind w:firstLine="0"/>
              <w:rPr>
                <w:rFonts w:hint="eastAsia"/>
                <w:color w:val="auto"/>
                <w:sz w:val="21"/>
                <w:highlight w:val="none"/>
              </w:rPr>
            </w:pPr>
            <w:r>
              <w:rPr>
                <w:rFonts w:hint="eastAsia"/>
                <w:color w:val="auto"/>
                <w:sz w:val="21"/>
                <w:highlight w:val="none"/>
              </w:rPr>
              <w:t xml:space="preserve">2）总质量10吨及以上洗扫车2台，自有1辆得2分，租赁1辆得1分，共4分；</w:t>
            </w:r>
            <w:r/>
          </w:p>
          <w:p>
            <w:pPr>
              <w:pStyle w:val="845"/>
              <w:ind w:firstLine="0"/>
              <w:rPr>
                <w:rFonts w:hint="eastAsia"/>
                <w:color w:val="auto"/>
                <w:sz w:val="21"/>
                <w:highlight w:val="none"/>
              </w:rPr>
            </w:pPr>
            <w:r>
              <w:rPr>
                <w:rFonts w:hint="eastAsia"/>
                <w:color w:val="auto"/>
                <w:sz w:val="21"/>
                <w:highlight w:val="none"/>
              </w:rPr>
              <w:t xml:space="preserve">3）总质量15吨及以上雾炮车或者抑尘车1台，自有1辆得2分，租赁1辆得1分，共2分；</w:t>
            </w:r>
            <w:r/>
          </w:p>
          <w:p>
            <w:pPr>
              <w:pStyle w:val="845"/>
              <w:ind w:firstLine="0"/>
              <w:rPr>
                <w:rFonts w:hint="eastAsia"/>
                <w:color w:val="auto"/>
                <w:sz w:val="21"/>
                <w:highlight w:val="none"/>
              </w:rPr>
            </w:pPr>
            <w:r>
              <w:rPr>
                <w:rFonts w:hint="eastAsia"/>
                <w:color w:val="auto"/>
                <w:sz w:val="21"/>
                <w:highlight w:val="none"/>
              </w:rPr>
              <w:t xml:space="preserve">4）防撞车1台，自有1辆得2分，租赁1辆得1分，共2分；</w:t>
            </w:r>
            <w:r/>
          </w:p>
          <w:p>
            <w:pPr>
              <w:pStyle w:val="845"/>
              <w:ind w:firstLine="0"/>
              <w:rPr>
                <w:rFonts w:hint="eastAsia"/>
                <w:color w:val="auto"/>
                <w:highlight w:val="none"/>
              </w:rPr>
            </w:pPr>
            <w:r>
              <w:rPr>
                <w:rFonts w:hint="eastAsia"/>
                <w:color w:val="auto"/>
                <w:sz w:val="21"/>
                <w:highlight w:val="none"/>
              </w:rPr>
              <w:t xml:space="preserve">（①自有设备提供发票、车辆提供行驶证或登记证；②租赁设备提供租赁合同、出租方购买发票及租赁费用发票。每种设备使用有效期覆盖工期，不重复得分，按最高得分计取。）</w:t>
            </w:r>
            <w:r/>
          </w:p>
        </w:tc>
        <w:tc>
          <w:tcPr>
            <w:tcW w:w="776" w:type="dxa"/>
            <w:vAlign w:val="center"/>
            <w:textDirection w:val="lrTb"/>
            <w:noWrap w:val="false"/>
          </w:tcPr>
          <w:p>
            <w:pPr>
              <w:jc w:val="center"/>
              <w:spacing w:line="360" w:lineRule="auto"/>
              <w:widowControl/>
              <w:rPr>
                <w:rFonts w:hint="eastAsia" w:ascii="宋体" w:hAnsi="宋体" w:cs="宋体"/>
                <w:b/>
                <w:bCs/>
                <w:color w:val="auto"/>
                <w:szCs w:val="21"/>
                <w:highlight w:val="none"/>
                <w:shd w:val="clear" w:color="auto" w:fill="ffffff"/>
              </w:rPr>
            </w:pPr>
            <w:r>
              <w:rPr>
                <w:rFonts w:hint="eastAsia" w:ascii="宋体" w:hAnsi="宋体" w:cs="宋体"/>
                <w:b/>
                <w:bCs/>
                <w:color w:val="auto"/>
                <w:szCs w:val="21"/>
                <w:highlight w:val="none"/>
              </w:rPr>
              <w:t xml:space="preserve">12</w:t>
            </w:r>
            <w:r/>
          </w:p>
        </w:tc>
      </w:tr>
      <w:tr>
        <w:trPr>
          <w:jc w:val="center"/>
        </w:trPr>
        <w:tc>
          <w:tcPr>
            <w:gridSpan w:val="3"/>
            <w:tcW w:w="8798"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b/>
                <w:bCs/>
                <w:color w:val="auto"/>
                <w:szCs w:val="21"/>
                <w:highlight w:val="none"/>
              </w:rPr>
              <w:t xml:space="preserve">合计</w:t>
            </w:r>
            <w:r/>
          </w:p>
        </w:tc>
        <w:tc>
          <w:tcPr>
            <w:tcW w:w="776" w:type="dxa"/>
            <w:vAlign w:val="center"/>
            <w:textDirection w:val="lrTb"/>
            <w:noWrap w:val="false"/>
          </w:tcPr>
          <w:p>
            <w:pPr>
              <w:jc w:val="center"/>
              <w:spacing w:line="360" w:lineRule="auto"/>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100</w:t>
            </w:r>
            <w:r/>
          </w:p>
        </w:tc>
      </w:tr>
    </w:tbl>
    <w:p>
      <w:pPr>
        <w:pStyle w:val="845"/>
        <w:rPr>
          <w:rFonts w:hint="eastAsia"/>
          <w:color w:val="auto"/>
          <w:highlight w:val="none"/>
        </w:rPr>
      </w:pPr>
      <w:r>
        <w:rPr>
          <w:rFonts w:hint="eastAsia"/>
          <w:color w:val="auto"/>
          <w:highlight w:val="none"/>
        </w:rPr>
      </w:r>
      <w:r/>
    </w:p>
    <w:p>
      <w:pPr>
        <w:spacing w:line="460" w:lineRule="exact"/>
        <w:rPr>
          <w:rStyle w:val="1088"/>
          <w:rFonts w:hint="eastAsia" w:ascii="宋体" w:hAnsi="宋体"/>
          <w:b/>
          <w:color w:val="auto"/>
          <w:highlight w:val="none"/>
        </w:rPr>
      </w:pPr>
      <w:r>
        <w:rPr>
          <w:rStyle w:val="1088"/>
          <w:rFonts w:hint="eastAsia" w:ascii="宋体" w:hAnsi="宋体"/>
          <w:b/>
          <w:color w:val="auto"/>
          <w:highlight w:val="none"/>
        </w:rPr>
        <w:t xml:space="preserve">三、说明</w:t>
      </w:r>
      <w:r/>
    </w:p>
    <w:p>
      <w:pPr>
        <w:ind w:firstLine="416"/>
        <w:spacing w:line="460" w:lineRule="exact"/>
        <w:rPr>
          <w:rStyle w:val="1088"/>
          <w:rFonts w:hint="eastAsia" w:ascii="宋体" w:hAnsi="宋体"/>
          <w:color w:val="auto"/>
          <w:highlight w:val="none"/>
        </w:rPr>
      </w:pPr>
      <w:r>
        <w:rPr>
          <w:rStyle w:val="1088"/>
          <w:rFonts w:hint="eastAsia" w:ascii="宋体" w:hAnsi="宋体"/>
          <w:color w:val="auto"/>
          <w:highlight w:val="none"/>
        </w:rPr>
        <w:t xml:space="preserve">1、评审评分标准涉及到的所有材料需按要求提供相应的证明材料在投标文件中，未按要求提供的均不得分。提供的证明材料必须真实可靠，如发现弄虚作假者，将向政府采购管理部门汇报，将供应商列入不良行为记录名单，并依法予以处罚。</w:t>
      </w:r>
      <w:r/>
    </w:p>
    <w:p>
      <w:pPr>
        <w:ind w:firstLine="416"/>
        <w:spacing w:line="460" w:lineRule="exact"/>
        <w:rPr>
          <w:rStyle w:val="1088"/>
          <w:rFonts w:hint="eastAsia" w:ascii="宋体" w:hAnsi="宋体"/>
          <w:color w:val="auto"/>
          <w:highlight w:val="none"/>
        </w:rPr>
      </w:pPr>
      <w:r>
        <w:rPr>
          <w:rStyle w:val="1088"/>
          <w:rFonts w:hint="eastAsia" w:ascii="宋体" w:hAnsi="宋体"/>
          <w:color w:val="auto"/>
          <w:highlight w:val="none"/>
        </w:rPr>
        <w:t xml:space="preserve">2、政策功能：</w:t>
      </w:r>
      <w:r/>
    </w:p>
    <w:p>
      <w:pPr>
        <w:ind w:firstLine="416"/>
        <w:spacing w:line="460" w:lineRule="exact"/>
        <w:rPr>
          <w:rStyle w:val="1088"/>
          <w:rFonts w:hint="eastAsia" w:ascii="宋体" w:hAnsi="宋体"/>
          <w:color w:val="auto"/>
          <w:highlight w:val="none"/>
        </w:rPr>
      </w:pPr>
      <w:r>
        <w:rPr>
          <w:rStyle w:val="1088"/>
          <w:rFonts w:hint="eastAsia" w:ascii="宋体" w:hAnsi="宋体"/>
          <w:color w:val="auto"/>
          <w:highlight w:val="none"/>
        </w:rPr>
        <w:t xml:space="preserve">2.1、小微型企业价格扣除</w:t>
      </w:r>
      <w:r/>
    </w:p>
    <w:p>
      <w:pPr>
        <w:ind w:firstLine="416"/>
        <w:spacing w:line="460" w:lineRule="exact"/>
        <w:rPr>
          <w:rStyle w:val="1088"/>
          <w:rFonts w:hint="eastAsia" w:ascii="宋体" w:hAnsi="宋体"/>
          <w:color w:val="auto"/>
          <w:highlight w:val="none"/>
        </w:rPr>
      </w:pPr>
      <w:r>
        <w:rPr>
          <w:rStyle w:val="1088"/>
          <w:rFonts w:hint="eastAsia" w:ascii="宋体" w:hAnsi="宋体"/>
          <w:color w:val="auto"/>
          <w:highlight w:val="none"/>
        </w:rPr>
        <w:t xml:space="preserve">（1）本项目对小微企业提供的服务给予10%的扣除价格，用扣除后的价格参与评审。</w:t>
      </w:r>
      <w:r/>
    </w:p>
    <w:p>
      <w:pPr>
        <w:ind w:firstLine="416"/>
        <w:spacing w:line="460" w:lineRule="exact"/>
        <w:rPr>
          <w:rStyle w:val="1088"/>
          <w:rFonts w:hint="eastAsia" w:ascii="宋体" w:hAnsi="宋体"/>
          <w:color w:val="auto"/>
          <w:highlight w:val="none"/>
        </w:rPr>
      </w:pPr>
      <w:r>
        <w:rPr>
          <w:rStyle w:val="1088"/>
          <w:rFonts w:hint="eastAsia" w:ascii="宋体" w:hAnsi="宋体"/>
          <w:color w:val="auto"/>
          <w:highlight w:val="none"/>
        </w:rPr>
        <w:t xml:space="preserve">（2）企业按照采购文件的要求提供相应的《中小企业声明函》。</w:t>
      </w:r>
      <w:r/>
    </w:p>
    <w:p>
      <w:pPr>
        <w:ind w:firstLine="416"/>
        <w:spacing w:line="460" w:lineRule="exact"/>
        <w:rPr>
          <w:rStyle w:val="1088"/>
          <w:rFonts w:hint="eastAsia" w:ascii="宋体" w:hAnsi="宋体"/>
          <w:color w:val="auto"/>
          <w:highlight w:val="none"/>
        </w:rPr>
      </w:pPr>
      <w:r>
        <w:rPr>
          <w:rStyle w:val="1088"/>
          <w:rFonts w:hint="eastAsia" w:ascii="宋体" w:hAnsi="宋体"/>
          <w:color w:val="auto"/>
          <w:highlight w:val="none"/>
        </w:rPr>
        <w:t xml:space="preserve">（3）企业标准请参照《关于印发中小企业划型标准规定的通知》（工信部联企业[2011]300号）文件规定自行填写。</w:t>
      </w:r>
      <w:r/>
    </w:p>
    <w:p>
      <w:pPr>
        <w:ind w:firstLine="416"/>
        <w:spacing w:line="460" w:lineRule="exact"/>
        <w:rPr>
          <w:rStyle w:val="1088"/>
          <w:rFonts w:hint="eastAsia" w:ascii="宋体" w:hAnsi="宋体"/>
          <w:color w:val="auto"/>
          <w:highlight w:val="none"/>
        </w:rPr>
      </w:pPr>
      <w:r>
        <w:rPr>
          <w:rStyle w:val="1088"/>
          <w:rFonts w:hint="eastAsia" w:ascii="宋体" w:hAnsi="宋体"/>
          <w:color w:val="auto"/>
          <w:highlight w:val="none"/>
        </w:rPr>
        <w:t xml:space="preserve">2.2、残疾人福利单位价格扣除</w:t>
      </w:r>
      <w:r/>
    </w:p>
    <w:p>
      <w:pPr>
        <w:ind w:firstLine="416"/>
        <w:spacing w:line="460" w:lineRule="exact"/>
        <w:rPr>
          <w:rStyle w:val="1088"/>
          <w:rFonts w:hint="eastAsia" w:ascii="宋体" w:hAnsi="宋体"/>
          <w:color w:val="auto"/>
          <w:highlight w:val="none"/>
        </w:rPr>
      </w:pPr>
      <w:r>
        <w:rPr>
          <w:rStyle w:val="1088"/>
          <w:rFonts w:hint="eastAsia" w:ascii="宋体" w:hAnsi="宋体"/>
          <w:color w:val="auto"/>
          <w:highlight w:val="none"/>
        </w:rPr>
        <w:t xml:space="preserve">（1）本项目对残疾人福利性单位视同小型、微型企业，给予与小微企业相同的价格扣除，用扣除后的价格参与评审。</w:t>
      </w:r>
      <w:r/>
    </w:p>
    <w:p>
      <w:pPr>
        <w:ind w:firstLine="416"/>
        <w:spacing w:line="460" w:lineRule="exact"/>
        <w:rPr>
          <w:rStyle w:val="1088"/>
          <w:rFonts w:hint="eastAsia" w:ascii="宋体" w:hAnsi="宋体"/>
          <w:color w:val="auto"/>
          <w:highlight w:val="none"/>
        </w:rPr>
      </w:pPr>
      <w:r>
        <w:rPr>
          <w:rStyle w:val="1088"/>
          <w:rFonts w:hint="eastAsia" w:ascii="宋体" w:hAnsi="宋体"/>
          <w:color w:val="auto"/>
          <w:highlight w:val="none"/>
        </w:rPr>
        <w:t xml:space="preserve">（2）残疾人福利单位需按照采购文件的要求提供《残疾人福利性单位声明函》。</w:t>
      </w:r>
      <w:r/>
    </w:p>
    <w:p>
      <w:pPr>
        <w:ind w:firstLine="416"/>
        <w:spacing w:line="460" w:lineRule="exact"/>
        <w:rPr>
          <w:rStyle w:val="1088"/>
          <w:rFonts w:hint="eastAsia" w:ascii="宋体" w:hAnsi="宋体"/>
          <w:color w:val="auto"/>
          <w:highlight w:val="none"/>
        </w:rPr>
      </w:pPr>
      <w:r>
        <w:rPr>
          <w:rStyle w:val="1088"/>
          <w:rFonts w:hint="eastAsia" w:ascii="宋体" w:hAnsi="宋体"/>
          <w:color w:val="auto"/>
          <w:highlight w:val="none"/>
        </w:rPr>
        <w:t xml:space="preserve">（3）残疾人福利单位标准请参照《关于促进残疾人就业政府采购政策的通知》（财库〔2017〕141号）。</w:t>
      </w:r>
      <w:r/>
    </w:p>
    <w:p>
      <w:pPr>
        <w:ind w:firstLine="416"/>
        <w:spacing w:line="460" w:lineRule="exact"/>
        <w:rPr>
          <w:rStyle w:val="1088"/>
          <w:rFonts w:hint="eastAsia" w:ascii="宋体" w:hAnsi="宋体"/>
          <w:color w:val="auto"/>
          <w:highlight w:val="none"/>
        </w:rPr>
      </w:pPr>
      <w:r>
        <w:rPr>
          <w:rStyle w:val="1088"/>
          <w:rFonts w:hint="eastAsia" w:ascii="宋体" w:hAnsi="宋体"/>
          <w:color w:val="auto"/>
          <w:highlight w:val="none"/>
        </w:rPr>
        <w:t xml:space="preserve">2.3、监狱和戒毒企业价格扣除</w:t>
      </w:r>
      <w:r/>
    </w:p>
    <w:p>
      <w:pPr>
        <w:ind w:firstLine="416"/>
        <w:spacing w:line="460" w:lineRule="exact"/>
        <w:rPr>
          <w:rStyle w:val="1088"/>
          <w:rFonts w:hint="eastAsia" w:ascii="宋体" w:hAnsi="宋体"/>
          <w:color w:val="auto"/>
          <w:highlight w:val="none"/>
        </w:rPr>
      </w:pPr>
      <w:r>
        <w:rPr>
          <w:rStyle w:val="1088"/>
          <w:rFonts w:hint="eastAsia" w:ascii="宋体" w:hAnsi="宋体"/>
          <w:color w:val="auto"/>
          <w:highlight w:val="none"/>
        </w:rPr>
        <w:t xml:space="preserve">（1）本项目对监狱和戒毒企业（简称监狱企业）视同小型、微型企业，给予与小微企业相同的价格扣除，用扣除后的价格参与评审。</w:t>
      </w:r>
      <w:r/>
    </w:p>
    <w:p>
      <w:pPr>
        <w:ind w:firstLine="416"/>
        <w:spacing w:line="460" w:lineRule="exact"/>
        <w:rPr>
          <w:rStyle w:val="1088"/>
          <w:rFonts w:hint="eastAsia" w:ascii="宋体" w:hAnsi="宋体"/>
          <w:color w:val="auto"/>
          <w:highlight w:val="none"/>
        </w:rPr>
      </w:pPr>
      <w:r>
        <w:rPr>
          <w:rStyle w:val="1088"/>
          <w:rFonts w:hint="eastAsia" w:ascii="宋体" w:hAnsi="宋体"/>
          <w:color w:val="auto"/>
          <w:highlight w:val="none"/>
        </w:rPr>
        <w:t xml:space="preserve">（2）监狱企业参加政府采购活动时，需提供由省级以上监狱管理局、戒毒管理局(含新疆生产建设兵团)出具的属于监狱企业的证明文件。</w:t>
      </w:r>
      <w:r/>
    </w:p>
    <w:p>
      <w:pPr>
        <w:ind w:firstLine="416"/>
        <w:spacing w:line="460" w:lineRule="exact"/>
        <w:rPr>
          <w:rStyle w:val="1088"/>
          <w:rFonts w:hint="eastAsia" w:ascii="宋体" w:hAnsi="宋体"/>
          <w:color w:val="auto"/>
          <w:highlight w:val="none"/>
        </w:rPr>
      </w:pPr>
      <w:r>
        <w:rPr>
          <w:rStyle w:val="1088"/>
          <w:rFonts w:hint="eastAsia" w:ascii="宋体" w:hAnsi="宋体"/>
          <w:color w:val="auto"/>
          <w:highlight w:val="none"/>
        </w:rPr>
        <w:t xml:space="preserve">（3）监狱企业标准请参照《关于政府采购支持监狱企业发展有关问题的通知》（财库[2014]68号）。</w:t>
      </w:r>
      <w:r/>
    </w:p>
    <w:p>
      <w:pPr>
        <w:ind w:firstLine="416"/>
        <w:spacing w:line="460" w:lineRule="exact"/>
        <w:rPr>
          <w:rStyle w:val="1088"/>
          <w:rFonts w:hint="eastAsia" w:ascii="宋体" w:hAnsi="宋体"/>
          <w:color w:val="auto"/>
          <w:highlight w:val="none"/>
        </w:rPr>
      </w:pPr>
      <w:r>
        <w:rPr>
          <w:rStyle w:val="1088"/>
          <w:rFonts w:hint="eastAsia" w:ascii="宋体" w:hAnsi="宋体"/>
          <w:color w:val="auto"/>
          <w:highlight w:val="none"/>
        </w:rPr>
        <w:t xml:space="preserve">2.4、残疾人福利单位、监狱企业属于小型、微型企业的，不重复享受政策。上述价格扣除政策仅适用“不专门面向中小微企业采购项目”。</w:t>
      </w:r>
      <w:r/>
    </w:p>
    <w:p>
      <w:pPr>
        <w:pStyle w:val="806"/>
        <w:rPr>
          <w:rFonts w:hint="eastAsia" w:ascii="宋体" w:hAnsi="宋体" w:cs="宋体"/>
          <w:color w:val="auto"/>
          <w:szCs w:val="36"/>
          <w:highlight w:val="none"/>
          <w:lang w:val="zh-CN"/>
        </w:rPr>
      </w:pPr>
      <w:r>
        <w:rPr>
          <w:rFonts w:ascii="宋体" w:hAnsi="宋体" w:cs="宋体"/>
          <w:color w:val="auto"/>
          <w:szCs w:val="36"/>
          <w:highlight w:val="none"/>
          <w:lang w:val="zh-CN"/>
        </w:rPr>
        <w:br w:type="page" w:clear="all"/>
      </w:r>
      <w:bookmarkStart w:id="41" w:name="_Toc13215"/>
      <w:r>
        <w:rPr>
          <w:rFonts w:hint="eastAsia"/>
          <w:color w:val="auto"/>
          <w:lang w:val="zh-CN"/>
        </w:rPr>
        <w:t xml:space="preserve">第四章 采购项目</w:t>
      </w:r>
      <w:bookmarkEnd w:id="38"/>
      <w:r/>
      <w:bookmarkEnd w:id="39"/>
      <w:r>
        <w:rPr>
          <w:rFonts w:hint="eastAsia"/>
          <w:color w:val="auto"/>
          <w:lang w:val="zh-CN"/>
        </w:rPr>
        <w:t xml:space="preserve">需求</w:t>
      </w:r>
      <w:bookmarkEnd w:id="40"/>
      <w:r/>
      <w:bookmarkEnd w:id="41"/>
      <w:r/>
      <w:r/>
    </w:p>
    <w:p>
      <w:pPr>
        <w:ind w:firstLine="422"/>
        <w:jc w:val="left"/>
        <w:spacing w:line="360" w:lineRule="auto"/>
        <w:widowControl/>
        <w:rPr>
          <w:rFonts w:hint="eastAsia" w:ascii="宋体" w:hAnsi="宋体"/>
          <w:b/>
          <w:color w:val="auto"/>
          <w:sz w:val="22"/>
          <w:highlight w:val="none"/>
          <w:lang w:val="zh-CN" w:bidi="en-US"/>
        </w:rPr>
        <w:outlineLvl w:val="1"/>
      </w:pPr>
      <w:r>
        <w:rPr>
          <w:rFonts w:hint="eastAsia" w:ascii="宋体" w:hAnsi="宋体"/>
          <w:b/>
          <w:color w:val="auto"/>
          <w:sz w:val="22"/>
          <w:highlight w:val="none"/>
          <w:lang w:val="zh-CN" w:bidi="en-US"/>
        </w:rPr>
        <w:t xml:space="preserve">一、采购需求：</w:t>
      </w:r>
      <w:r/>
    </w:p>
    <w:p>
      <w:pPr>
        <w:ind w:firstLine="416"/>
        <w:spacing w:line="460" w:lineRule="exact"/>
        <w:rPr>
          <w:rFonts w:hint="eastAsia" w:ascii="宋体" w:hAnsi="宋体"/>
          <w:color w:val="auto"/>
          <w:szCs w:val="21"/>
          <w:highlight w:val="none"/>
        </w:rPr>
      </w:pPr>
      <w:r>
        <w:rPr>
          <w:rFonts w:hint="eastAsia" w:ascii="宋体" w:hAnsi="宋体"/>
          <w:color w:val="auto"/>
          <w:szCs w:val="21"/>
          <w:highlight w:val="none"/>
        </w:rPr>
        <w:t xml:space="preserve">1.招标内容为：2026年S122汤山段辅道日常养护服务相关工作，主要内容包括对S122 汤山段辅道的养护，道路病害维修、桥涵构造物维修维护、安保更换维修维护、突发道路事件处置、以及道路附属设施养护等以及采购人指令的其它工作内容。具体详见养护服务项目的清单。</w:t>
      </w:r>
      <w:r/>
    </w:p>
    <w:p>
      <w:pPr>
        <w:ind w:firstLine="416"/>
        <w:spacing w:line="460" w:lineRule="exact"/>
        <w:rPr>
          <w:rFonts w:hint="eastAsia" w:ascii="宋体" w:hAnsi="宋体"/>
          <w:color w:val="auto"/>
          <w:szCs w:val="21"/>
          <w:highlight w:val="none"/>
        </w:rPr>
      </w:pPr>
      <w:r>
        <w:rPr>
          <w:rFonts w:hint="eastAsia" w:ascii="宋体" w:hAnsi="宋体"/>
          <w:color w:val="auto"/>
          <w:szCs w:val="21"/>
          <w:highlight w:val="none"/>
        </w:rPr>
        <w:t xml:space="preserve">2.合同履行期限：自合同签订之日起一年</w:t>
      </w:r>
      <w:r/>
    </w:p>
    <w:p>
      <w:pPr>
        <w:ind w:firstLine="416"/>
        <w:spacing w:line="46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.项目建设遵循标准：</w:t>
      </w:r>
      <w:r/>
    </w:p>
    <w:p>
      <w:pPr>
        <w:ind w:firstLine="416"/>
        <w:spacing w:line="460" w:lineRule="exact"/>
        <w:rPr>
          <w:rFonts w:hint="eastAsia" w:ascii="宋体" w:hAnsi="宋体"/>
          <w:color w:val="auto"/>
          <w:szCs w:val="21"/>
          <w:highlight w:val="none"/>
        </w:rPr>
      </w:pPr>
      <w:r>
        <w:rPr>
          <w:rFonts w:hint="eastAsia" w:ascii="宋体" w:hAnsi="宋体"/>
          <w:color w:val="auto"/>
          <w:szCs w:val="21"/>
          <w:highlight w:val="none"/>
        </w:rPr>
        <w:t xml:space="preserve">1）．</w:t>
      </w:r>
      <w:bookmarkStart w:id="42" w:name="_Hlk213334517"/>
      <w:r>
        <w:rPr>
          <w:rFonts w:hint="eastAsia" w:ascii="宋体" w:hAnsi="宋体"/>
          <w:color w:val="auto"/>
          <w:szCs w:val="21"/>
          <w:highlight w:val="none"/>
        </w:rPr>
        <w:t xml:space="preserve">养护工作</w:t>
      </w:r>
      <w:r>
        <w:rPr>
          <w:rFonts w:hint="eastAsia" w:ascii="宋体" w:hAnsi="宋体"/>
          <w:color w:val="auto"/>
          <w:szCs w:val="21"/>
          <w:highlight w:val="none"/>
        </w:rPr>
        <w:t xml:space="preserve">必须全面达到交通运输部《公路养护技术标准》（JTG 5110—2023）、《公路桥涵养护规范》（JTG 5120-2021）、《公路技术状况评定标准》（JTG 5210—2018）、《农村公路养护技术规范》（JTG 5190—2019）、《公路养护安全作业规程》（JTG H30-2015）、《市公路中心关于印发普通国省道日常养护考核办法（试行）的通知》（宁路养〔2024〕43号）、《江宁区公路中心关于印发关于干线公路养护管理考核通知》（江宁路养〔2024〕23号）等现行规范中规定的各项技术要求及采购人要求。</w:t>
      </w:r>
      <w:bookmarkEnd w:id="42"/>
      <w:r/>
      <w:r/>
    </w:p>
    <w:p>
      <w:pPr>
        <w:ind w:firstLine="416"/>
        <w:spacing w:line="460" w:lineRule="exact"/>
        <w:rPr>
          <w:rFonts w:hint="eastAsia" w:ascii="宋体" w:hAnsi="宋体"/>
          <w:color w:val="auto"/>
          <w:szCs w:val="21"/>
          <w:highlight w:val="none"/>
        </w:rPr>
      </w:pPr>
      <w:r>
        <w:rPr>
          <w:rFonts w:hint="eastAsia" w:ascii="宋体" w:hAnsi="宋体"/>
          <w:color w:val="auto"/>
          <w:szCs w:val="21"/>
          <w:highlight w:val="none"/>
        </w:rPr>
        <w:t xml:space="preserve">2）．以采购人代表或监理以书面形式批准的变更通知或养护指导意见、国家颁发的养护技术或验收规范和质量检验标准及有关规定、合同要求为依据。</w:t>
      </w:r>
      <w:r/>
    </w:p>
    <w:p>
      <w:pPr>
        <w:ind w:firstLine="416"/>
        <w:spacing w:line="460" w:lineRule="exact"/>
        <w:rPr>
          <w:rFonts w:hint="eastAsia" w:ascii="宋体" w:hAnsi="宋体"/>
          <w:color w:val="auto"/>
          <w:szCs w:val="21"/>
          <w:highlight w:val="none"/>
        </w:rPr>
      </w:pPr>
      <w:r>
        <w:rPr>
          <w:rFonts w:hint="eastAsia" w:ascii="宋体" w:hAnsi="宋体"/>
          <w:color w:val="auto"/>
          <w:szCs w:val="21"/>
          <w:highlight w:val="none"/>
        </w:rPr>
        <w:t xml:space="preserve">3）．按《南京市江宁区公路事业中心国省道干线公路养护管理考核办法》每月检查，季度考核。</w:t>
      </w:r>
      <w:r/>
    </w:p>
    <w:p>
      <w:pPr>
        <w:ind w:firstLine="422"/>
        <w:jc w:val="left"/>
        <w:spacing w:line="360" w:lineRule="auto"/>
        <w:widowControl/>
        <w:rPr>
          <w:rFonts w:hint="eastAsia" w:ascii="宋体" w:hAnsi="宋体"/>
          <w:b/>
          <w:color w:val="auto"/>
          <w:sz w:val="22"/>
          <w:highlight w:val="none"/>
          <w:lang w:val="zh-CN" w:bidi="en-US"/>
        </w:rPr>
        <w:outlineLvl w:val="1"/>
      </w:pPr>
      <w:r>
        <w:rPr>
          <w:rFonts w:hint="eastAsia" w:ascii="宋体" w:hAnsi="宋体"/>
          <w:b/>
          <w:color w:val="auto"/>
          <w:sz w:val="22"/>
          <w:highlight w:val="none"/>
          <w:lang w:val="zh-CN" w:bidi="en-US"/>
        </w:rPr>
        <w:t xml:space="preserve">二、养护清单（另附）</w:t>
      </w:r>
      <w:r/>
    </w:p>
    <w:tbl>
      <w:tblPr>
        <w:tblStyle w:val="816"/>
        <w:tblW w:w="5006"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37"/>
        <w:gridCol w:w="1962"/>
        <w:gridCol w:w="520"/>
        <w:gridCol w:w="686"/>
        <w:gridCol w:w="998"/>
        <w:gridCol w:w="1443"/>
        <w:gridCol w:w="3349"/>
      </w:tblGrid>
      <w:tr>
        <w:trPr>
          <w:trHeight w:val="470"/>
        </w:trPr>
        <w:tc>
          <w:tcPr>
            <w:tcW w:w="521" w:type="dxa"/>
            <w:vAlign w:val="center"/>
            <w:textDirection w:val="lrTb"/>
            <w:noWrap w:val="false"/>
          </w:tcPr>
          <w:p>
            <w:pPr>
              <w:jc w:val="center"/>
              <w:spacing w:line="4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序号</w:t>
            </w:r>
            <w:r/>
          </w:p>
        </w:tc>
        <w:tc>
          <w:tcPr>
            <w:tcW w:w="1966" w:type="dxa"/>
            <w:vAlign w:val="center"/>
            <w:textDirection w:val="lrTb"/>
            <w:noWrap w:val="false"/>
          </w:tcPr>
          <w:p>
            <w:pPr>
              <w:jc w:val="center"/>
              <w:spacing w:line="4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名称</w:t>
            </w:r>
            <w:r/>
          </w:p>
        </w:tc>
        <w:tc>
          <w:tcPr>
            <w:tcW w:w="520" w:type="dxa"/>
            <w:vAlign w:val="center"/>
            <w:textDirection w:val="lrTb"/>
            <w:noWrap w:val="false"/>
          </w:tcPr>
          <w:p>
            <w:pPr>
              <w:jc w:val="center"/>
              <w:spacing w:line="4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数量</w:t>
            </w:r>
            <w:r/>
          </w:p>
        </w:tc>
        <w:tc>
          <w:tcPr>
            <w:tcW w:w="687" w:type="dxa"/>
            <w:vAlign w:val="center"/>
            <w:textDirection w:val="lrTb"/>
            <w:noWrap w:val="false"/>
          </w:tcPr>
          <w:p>
            <w:pPr>
              <w:jc w:val="center"/>
              <w:spacing w:line="4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单位</w:t>
            </w:r>
            <w:r/>
          </w:p>
        </w:tc>
        <w:tc>
          <w:tcPr>
            <w:tcW w:w="1000" w:type="dxa"/>
            <w:vAlign w:val="center"/>
            <w:textDirection w:val="lrTb"/>
            <w:noWrap w:val="false"/>
          </w:tcPr>
          <w:p>
            <w:pPr>
              <w:jc w:val="center"/>
              <w:spacing w:line="4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产品类型</w:t>
            </w:r>
            <w:r/>
          </w:p>
        </w:tc>
        <w:tc>
          <w:tcPr>
            <w:tcW w:w="1446" w:type="dxa"/>
            <w:vAlign w:val="center"/>
            <w:textDirection w:val="lrTb"/>
            <w:noWrap w:val="false"/>
          </w:tcPr>
          <w:p>
            <w:pPr>
              <w:jc w:val="center"/>
              <w:spacing w:line="4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所属行业类型</w:t>
            </w:r>
            <w:r/>
          </w:p>
        </w:tc>
        <w:tc>
          <w:tcPr>
            <w:tcW w:w="3355" w:type="dxa"/>
            <w:vAlign w:val="center"/>
            <w:textDirection w:val="lrTb"/>
            <w:noWrap w:val="false"/>
          </w:tcPr>
          <w:p>
            <w:pPr>
              <w:jc w:val="center"/>
              <w:spacing w:line="4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备注</w:t>
            </w:r>
            <w:r/>
          </w:p>
        </w:tc>
      </w:tr>
      <w:tr>
        <w:trPr>
          <w:trHeight w:val="414"/>
        </w:trPr>
        <w:tc>
          <w:tcPr>
            <w:tcW w:w="521" w:type="dxa"/>
            <w:vAlign w:val="center"/>
            <w:textDirection w:val="lrTb"/>
            <w:noWrap w:val="false"/>
          </w:tcPr>
          <w:p>
            <w:pPr>
              <w:ind w:firstLine="416"/>
              <w:spacing w:line="460" w:lineRule="exact"/>
              <w:rPr>
                <w:rFonts w:hint="eastAsia" w:ascii="宋体" w:hAnsi="宋体"/>
                <w:color w:val="auto"/>
                <w:szCs w:val="21"/>
                <w:highlight w:val="none"/>
              </w:rPr>
            </w:pPr>
            <w:r>
              <w:rPr>
                <w:rFonts w:hint="eastAsia" w:ascii="宋体" w:hAnsi="宋体"/>
                <w:color w:val="auto"/>
                <w:szCs w:val="21"/>
                <w:highlight w:val="none"/>
              </w:rPr>
              <w:t xml:space="preserve">1</w:t>
            </w:r>
            <w:r/>
          </w:p>
        </w:tc>
        <w:tc>
          <w:tcPr>
            <w:tcW w:w="1966" w:type="dxa"/>
            <w:vAlign w:val="center"/>
            <w:textDirection w:val="lrTb"/>
            <w:noWrap w:val="false"/>
          </w:tcPr>
          <w:p>
            <w:pPr>
              <w:spacing w:line="460" w:lineRule="exact"/>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 xml:space="preserve">2026年S122汤山段辅道日常养护服务</w:t>
            </w:r>
            <w:r/>
          </w:p>
        </w:tc>
        <w:tc>
          <w:tcPr>
            <w:tcW w:w="520" w:type="dxa"/>
            <w:vAlign w:val="center"/>
            <w:textDirection w:val="lrTb"/>
            <w:noWrap w:val="false"/>
          </w:tcPr>
          <w:p>
            <w:pPr>
              <w:ind w:firstLine="210"/>
              <w:spacing w:line="460" w:lineRule="exact"/>
              <w:rPr>
                <w:rFonts w:hint="eastAsia" w:ascii="宋体" w:hAnsi="宋体"/>
                <w:color w:val="auto"/>
                <w:szCs w:val="21"/>
                <w:highlight w:val="none"/>
              </w:rPr>
            </w:pPr>
            <w:r>
              <w:rPr>
                <w:rFonts w:hint="eastAsia" w:ascii="宋体" w:hAnsi="宋体"/>
                <w:color w:val="auto"/>
                <w:szCs w:val="21"/>
                <w:highlight w:val="none"/>
              </w:rPr>
              <w:t xml:space="preserve">1</w:t>
            </w:r>
            <w:r/>
          </w:p>
        </w:tc>
        <w:tc>
          <w:tcPr>
            <w:tcW w:w="687" w:type="dxa"/>
            <w:vAlign w:val="center"/>
            <w:textDirection w:val="lrTb"/>
            <w:noWrap w:val="false"/>
          </w:tcPr>
          <w:p>
            <w:pPr>
              <w:ind w:firstLine="210"/>
              <w:spacing w:line="460" w:lineRule="exact"/>
              <w:rPr>
                <w:rFonts w:hint="eastAsia" w:ascii="宋体" w:hAnsi="宋体"/>
                <w:color w:val="auto"/>
                <w:szCs w:val="21"/>
                <w:highlight w:val="none"/>
              </w:rPr>
            </w:pPr>
            <w:r>
              <w:rPr>
                <w:rFonts w:hint="eastAsia" w:ascii="宋体" w:hAnsi="宋体"/>
                <w:color w:val="auto"/>
                <w:szCs w:val="21"/>
                <w:highlight w:val="none"/>
              </w:rPr>
              <w:t xml:space="preserve">项</w:t>
            </w:r>
            <w:r/>
          </w:p>
        </w:tc>
        <w:tc>
          <w:tcPr>
            <w:tcW w:w="1000" w:type="dxa"/>
            <w:vAlign w:val="center"/>
            <w:textDirection w:val="lrTb"/>
            <w:noWrap w:val="false"/>
          </w:tcPr>
          <w:p>
            <w:pPr>
              <w:spacing w:line="460" w:lineRule="exact"/>
              <w:rPr>
                <w:rFonts w:hint="eastAsia" w:ascii="宋体" w:hAnsi="宋体"/>
                <w:color w:val="auto"/>
                <w:szCs w:val="21"/>
                <w:highlight w:val="none"/>
              </w:rPr>
            </w:pPr>
            <w:r>
              <w:rPr>
                <w:rFonts w:hint="eastAsia" w:ascii="宋体" w:hAnsi="宋体"/>
                <w:color w:val="auto"/>
                <w:szCs w:val="21"/>
                <w:highlight w:val="none"/>
              </w:rPr>
              <w:t xml:space="preserve">公路管理和养护服务</w:t>
            </w:r>
            <w:r/>
          </w:p>
        </w:tc>
        <w:tc>
          <w:tcPr>
            <w:tcW w:w="1446" w:type="dxa"/>
            <w:vAlign w:val="center"/>
            <w:textDirection w:val="lrTb"/>
            <w:noWrap w:val="false"/>
          </w:tcPr>
          <w:p>
            <w:pPr>
              <w:spacing w:line="460" w:lineRule="exact"/>
              <w:rPr>
                <w:rFonts w:hint="eastAsia" w:ascii="宋体" w:hAnsi="宋体"/>
                <w:color w:val="auto"/>
                <w:szCs w:val="21"/>
                <w:highlight w:val="none"/>
              </w:rPr>
            </w:pPr>
            <w:r>
              <w:rPr>
                <w:rFonts w:hint="eastAsia" w:ascii="宋体" w:hAnsi="宋体"/>
                <w:color w:val="auto"/>
                <w:szCs w:val="21"/>
                <w:highlight w:val="none"/>
              </w:rPr>
              <w:t xml:space="preserve">交通运输业</w:t>
            </w:r>
            <w:r/>
          </w:p>
        </w:tc>
        <w:tc>
          <w:tcPr>
            <w:tcW w:w="3355" w:type="dxa"/>
            <w:vAlign w:val="center"/>
            <w:textDirection w:val="lrTb"/>
            <w:noWrap w:val="false"/>
          </w:tcPr>
          <w:p>
            <w:pPr>
              <w:ind w:firstLine="416"/>
              <w:spacing w:line="460" w:lineRule="exact"/>
              <w:rPr>
                <w:rFonts w:hint="eastAsia" w:ascii="宋体" w:hAnsi="宋体"/>
                <w:color w:val="auto"/>
                <w:szCs w:val="21"/>
                <w:highlight w:val="none"/>
              </w:rPr>
            </w:pPr>
            <w:r>
              <w:rPr>
                <w:rFonts w:hint="eastAsia" w:ascii="宋体" w:hAnsi="宋体"/>
                <w:color w:val="auto"/>
                <w:szCs w:val="21"/>
                <w:highlight w:val="none"/>
              </w:rPr>
              <w:t xml:space="preserve">主要包括日常保养维修（道路病害维修、桥涵构造物维修维护、安保更换维修维护、附属设施养护）、应急抢修、突发道路事件处置、除雪防冻、防汛防台等应急处置工作等以及采购人指令的其它工作内容。</w:t>
            </w:r>
            <w:r/>
          </w:p>
        </w:tc>
      </w:tr>
    </w:tbl>
    <w:p>
      <w:pPr>
        <w:pStyle w:val="846"/>
        <w:rPr>
          <w:color w:val="auto"/>
          <w:highlight w:val="none"/>
        </w:rPr>
      </w:pPr>
      <w:r>
        <w:rPr>
          <w:color w:val="auto"/>
          <w:highlight w:val="none"/>
        </w:rPr>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一</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投标人应按照采购人提供的养护工作量清单填写。</w:t>
      </w:r>
      <w:r>
        <w:rPr>
          <w:rFonts w:hint="eastAsia" w:ascii="宋体" w:hAnsi="宋体" w:eastAsia="宋体" w:cs="宋体"/>
          <w:color w:val="auto"/>
          <w:sz w:val="21"/>
          <w:szCs w:val="21"/>
          <w:highlight w:val="none"/>
          <w:lang w:val="zh-CN"/>
        </w:rPr>
        <w:t xml:space="preserve">投标报价包括但不限于</w:t>
      </w:r>
      <w:r>
        <w:rPr>
          <w:rFonts w:hint="eastAsia" w:ascii="宋体" w:hAnsi="宋体" w:eastAsia="宋体" w:cs="宋体"/>
          <w:color w:val="auto"/>
          <w:sz w:val="21"/>
          <w:szCs w:val="21"/>
          <w:highlight w:val="none"/>
        </w:rPr>
        <w:t xml:space="preserve">完成本项目的人工、机械、材料、维修技术、企业管理、税金、政策性文件规定及及合同包含内的所有风险、责任等各项应有费用以及供应商认为需要的其他费用等，响应供应商应根据上述因素结合清单自行考虑投标报价</w:t>
      </w:r>
      <w:r>
        <w:rPr>
          <w:rFonts w:hint="eastAsia" w:ascii="宋体" w:hAnsi="宋体" w:eastAsia="宋体" w:cs="宋体"/>
          <w:color w:val="auto"/>
          <w:sz w:val="21"/>
          <w:szCs w:val="21"/>
          <w:highlight w:val="none"/>
          <w:lang w:val="zh-CN"/>
        </w:rPr>
        <w:t xml:space="preserve">。</w:t>
      </w:r>
      <w:r/>
    </w:p>
    <w:p>
      <w:pPr>
        <w:ind w:firstLine="42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二</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供应商应按清单报价，且不得改变清单中的细目号、细目名称、计量单位、</w:t>
      </w:r>
      <w:r>
        <w:rPr>
          <w:rFonts w:hint="eastAsia" w:ascii="宋体" w:hAnsi="宋体" w:eastAsia="宋体" w:cs="宋体"/>
          <w:b/>
          <w:bCs/>
          <w:color w:val="auto"/>
          <w:sz w:val="21"/>
          <w:szCs w:val="21"/>
          <w:highlight w:val="none"/>
          <w:lang w:val="en-US" w:eastAsia="zh-CN"/>
        </w:rPr>
        <w:t xml:space="preserve">数量</w:t>
      </w:r>
      <w:r>
        <w:rPr>
          <w:rFonts w:hint="eastAsia" w:ascii="宋体" w:hAnsi="宋体" w:eastAsia="宋体" w:cs="宋体"/>
          <w:b/>
          <w:bCs/>
          <w:color w:val="auto"/>
          <w:sz w:val="21"/>
          <w:szCs w:val="21"/>
          <w:highlight w:val="none"/>
        </w:rPr>
        <w:t xml:space="preserve">；否则按无效响应处理。安全生产费不得优惠，改变上述金额按无效响应处理。</w:t>
      </w:r>
      <w:r/>
    </w:p>
    <w:p>
      <w:pPr>
        <w:ind w:firstLine="420"/>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三</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采购清单说明</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、总体说明</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1.采购清单说明</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 本采购清单是根据招标文件中包括的、有关采购清单的国家标准、行业标准、合同条款中约定的工程量计算规则编制。约定计量规则中没有的子目，其工程量按照有合同约束力的图纸所标示尺寸的理论净量计算。计量采用中华人民共和国法定计量单位。</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 本采购清单应与招标文件中的投标人须知、合同文件等一起阅读和理解。</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本采购清单中所列工程数量为采购人暂定量，仅作为投标报价的共同基础，不能作为最终结算与支付的依据。实际支付应按实际完成的工程量，由中标人按技术规范规定的计量方法，以采购人认可的尺寸、断面计量，按本采购清单的单价和总额价计算支付金额；或者根据具体情况，由采购人确定的单价或总额价计算支付额.</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 采购清单中所列工程量的变动，丝毫不会降低或影响合同条款的效力，也不免除中标人按规定的标准进行施工和修复缺陷的责任。</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1.5经批准的工程数量表及数量汇总表仅是提供资料，不是采购清单的外延。当经批准的工程数量表与采购清单所列数量不一致时，以采购清单所列数量作为报价的依据。</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2．投标报价说明</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 采购清单中的每一子目须填入单价或价格，且只允许有一个报价。</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 除非合同另有规定，采购清单中有标价的单价和总额价均已包括了为实施和完成合同工程所需的劳务、材料、机械、质检（自检）、安装、缺陷修复、管理、保险、税费、利润和安全生产费等费用，以及合同明示或暗示的所有责任、义务和一般风险。</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 采购清单中供应商没有填入单价或价格的子目，其费用视为已分摊在采购清单中其他相关子目的单价或价格之中。中标人必须按采购人指令完成采购清单中未填入单价或价格的子目，但不能得到结算与支付。</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 符合合同条款规定的全部费用应认为已被计入有标价的采购清单所列各子目之中，未列子目不予计量的工作，其费用应视为已分摊在本合同工程的有关子目的单价或总额价之中。</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 中标人用于本合同工程的各类装备的提供、运输、维护、拆卸、拼装等支付的费用，已包括在采购清单的单价与总额价之中。</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 采购清单中各项金额均以人民币（元）结算。</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3．计日工说明</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3.1 总则</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（1）未经采购人书面指令，任何工程不得按计日工施工；接到采购人按计日工施工的书面指令，中标人也不得拒绝。</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供应商应在计日工单价表中填列计日工子目的基本单价或租价，该基本单价或租价适用于采购人指令的任何数量的计日工的结算与支付。计日工的劳务、材料和施工机械由采购人（或采购人）列出正常的估计数量，供应商报出单价，计算出计日工总额后列入采购清单汇总表中并进入评标价。</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（3）计日工不调价。</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 计日工劳务</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在计算应付给中标人的计日工工资时，工时应从工人到达施工现场，并开始从事指定的工作算起，到返回原出发地点为止，扣去用餐和休息的时间。只有直接从事指定的工作，且能胜任该工作的工人才能计工，随同工人—起做工的班长应计算在内，但不包括领工（工长）和其他质检管理人员。</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（2）中标人可以得到用于计日工劳务的全部工时的支付，此支付按中标人填报的“计日工劳务单价表”所列单价计算，该单价应包括基本单价及中标人的管理费、税费、利润等所有附加费，说明如下：</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a.劳务基本单价包括：中标人劳务的全部直接费用，如：工资、加班费、津贴、福利费及劳动保护费等。</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b.中标人的利润、管理、质检、保险、税费；易耗品的使用、水电及照明费，工作台、脚手架、临时设施费，手动机具与工具的使用及维修，以及上述各项伴随而来的费用。</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 计日工材料</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中标人可以得到计日工使用的材料费用（上述3.2款已计入劳务费内的材料费用除外）的支付，此费用按中标人“计日工材料单价表”中所填报的单价计算，该单价应包括基本单价及中标人的管理费、税费、利润等所有附加费，说明如下：</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a．材料基本单价按供货价加运杂费（到达中标人现场仓库）、保险费、仓库管理费以及运输损耗等计算;</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b. 中标人的利润、管理、质检、保险、税费及其他附加费;</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c．从现场运至使用地点的人工费和施工机械使用费不包括在上述基本单价内。</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 计日工施工机械</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中标人可以得到用于计日工作业的施工机械费用的支付，该费用按中标人填报的“计日工施工机械单价表”中的租价计算。该租价应包括施工机械的折旧、利息、维修、保养、零配件、油燃料、保险和其他消耗品的费用以及全部有关使用这些机械的管理费、税费、利润和司机与助手的劳务费等费用。</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在计日工作业中，中标人计算所用的施工机械费用时，应按实际工作小时支付。除非经采购人的同意，计算的工作小时才能将施工机械从现场某处运到采购人指令的计日工作业的另一现场往返运送时间包括在内。</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4．其他说明</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4.1安全生产费用按最高限价的1.5％计取。</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4.2如清单子目中未标注规格、材质、颜色、品种、等级等，请投标人综合考虑报价，中标后清单综合单价不随规格、材质、颜色、品种、等级等差异进行调整。</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二、针对本工程的特别说明：</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参照《关于下发南京市江宁区公路事业发展中心干线公路养护管理考核与经费支付办法的通知》（江宁路【2024】23号）规定执行。</w:t>
      </w:r>
      <w:r/>
    </w:p>
    <w:p>
      <w:pPr>
        <w:ind w:firstLine="422"/>
        <w:spacing w:line="312" w:lineRule="auto"/>
        <w:rPr>
          <w:rFonts w:hint="eastAsia" w:ascii="宋体" w:hAnsi="宋体" w:eastAsia="宋体" w:cs="宋体"/>
          <w:bCs/>
          <w:color w:val="auto"/>
          <w:sz w:val="21"/>
          <w:szCs w:val="21"/>
          <w:highlight w:val="none"/>
        </w:rPr>
      </w:pPr>
      <w:r>
        <w:rPr>
          <w:rFonts w:hint="eastAsia" w:ascii="宋体" w:hAnsi="宋体" w:eastAsia="宋体" w:cs="宋体"/>
          <w:b/>
          <w:color w:val="auto"/>
          <w:sz w:val="21"/>
          <w:szCs w:val="21"/>
          <w:highlight w:val="none"/>
          <w:lang w:bidi="en-US"/>
        </w:rPr>
        <w:t xml:space="preserve">三</w:t>
      </w:r>
      <w:r>
        <w:rPr>
          <w:rFonts w:hint="eastAsia" w:ascii="宋体" w:hAnsi="宋体" w:eastAsia="宋体" w:cs="宋体"/>
          <w:b/>
          <w:color w:val="auto"/>
          <w:sz w:val="21"/>
          <w:szCs w:val="21"/>
          <w:highlight w:val="none"/>
          <w:lang w:val="zh-CN" w:bidi="en-US"/>
        </w:rPr>
        <w:t xml:space="preserve">、</w:t>
      </w:r>
      <w:r>
        <w:rPr>
          <w:rFonts w:hint="eastAsia" w:ascii="宋体" w:hAnsi="宋体" w:eastAsia="宋体" w:cs="宋体"/>
          <w:bCs/>
          <w:color w:val="auto"/>
          <w:sz w:val="21"/>
          <w:szCs w:val="21"/>
          <w:highlight w:val="none"/>
        </w:rPr>
        <w:t xml:space="preserve">采购需求包括拟采购的标的及其需要满足的技术、商务要求。</w:t>
      </w:r>
      <w:r/>
    </w:p>
    <w:p>
      <w:pPr>
        <w:ind w:firstLine="420"/>
        <w:spacing w:line="312"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（一）技术要求</w:t>
      </w:r>
      <w:r/>
    </w:p>
    <w:p>
      <w:pPr>
        <w:ind w:firstLine="420"/>
        <w:spacing w:line="312"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3.1.1报价要求</w:t>
      </w:r>
      <w:r/>
    </w:p>
    <w:p>
      <w:pPr>
        <w:ind w:firstLine="420"/>
        <w:spacing w:line="312"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★本项目最高限价为700万元。</w:t>
      </w:r>
      <w:r/>
    </w:p>
    <w:p>
      <w:pPr>
        <w:ind w:firstLine="420"/>
        <w:spacing w:line="312"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除非合同另有规定，采购清单中有标价的单价和总额价均包括了为实施和完成合同工程所需的劳务、材料、机械、质检（自检）、安装、缺陷修复、管理、保险（单列险种除外）、税费、利润等费用，以及合同明示或暗示的所有责任、义务和一般风险。</w:t>
      </w:r>
      <w:r/>
    </w:p>
    <w:p>
      <w:pPr>
        <w:ind w:firstLine="420"/>
        <w:spacing w:line="312"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★中标人为响应评标办法所投入的养护工区，为此发生的相关费用计入采购清单各工程细目的单价或总价中，采购人不再另行计量与支付。</w:t>
      </w:r>
      <w:r/>
    </w:p>
    <w:p>
      <w:pPr>
        <w:ind w:firstLine="420"/>
        <w:spacing w:line="312"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项目应按照《中华人民共和国大气污染防治法》《江苏省大气污染防治条例》以及南京市污染防治等现行文件的规定执行，扬尘污染防治实施方案中应当包含施工围挡的设置、临时道路及“三场”的硬化、裸露土方及易扬尘物料的覆盖、洒水、清扫、保洁等降尘控尘措施的内容。此发生的相关费用计入采购清单各工程细目的单价或总价中，采购人不再另行计量与支付。</w:t>
      </w:r>
      <w:r/>
    </w:p>
    <w:p>
      <w:pPr>
        <w:ind w:firstLine="420"/>
        <w:spacing w:line="312"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中标人未按规定进行养护作业，由于路面抛洒、油污、病害等原因造成任何交通、生产事故以及与其他第三方发生的任何纠纷或事故，任何责任和费用均由中标人自行承担。此发生的相关费用计入采购清单各工程细目的单价或总价中，采购人不再另行计量与支付。</w:t>
      </w:r>
      <w:r/>
    </w:p>
    <w:p>
      <w:pPr>
        <w:ind w:firstLine="420"/>
        <w:spacing w:line="312"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★本项目公众责任险由中标人以中标人、采购人</w:t>
      </w:r>
      <w:r>
        <w:rPr>
          <w:rFonts w:hint="eastAsia" w:ascii="宋体" w:hAnsi="宋体" w:eastAsia="宋体" w:cs="宋体"/>
          <w:color w:val="auto"/>
          <w:sz w:val="21"/>
          <w:szCs w:val="21"/>
          <w:highlight w:val="none"/>
        </w:rPr>
        <w:t xml:space="preserve">（南京市江宁区交通运输局）</w:t>
      </w:r>
      <w:r>
        <w:rPr>
          <w:rFonts w:hint="eastAsia" w:ascii="宋体" w:hAnsi="宋体" w:eastAsia="宋体" w:cs="宋体"/>
          <w:bCs/>
          <w:color w:val="auto"/>
          <w:sz w:val="21"/>
          <w:szCs w:val="21"/>
          <w:highlight w:val="none"/>
        </w:rPr>
        <w:t xml:space="preserve">的名义投保，投保条件与投保费率由供应商根据江苏省保险行业协会有关公路工程保险的相关规定自行考虑，其费用在采购清单中列支。</w:t>
      </w:r>
      <w:r/>
    </w:p>
    <w:p>
      <w:pPr>
        <w:ind w:firstLine="420"/>
        <w:spacing w:line="312"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★本项目建筑工程一切险及第三者责任险由中标人以中标人、采购人</w:t>
      </w:r>
      <w:r>
        <w:rPr>
          <w:rFonts w:hint="eastAsia" w:ascii="宋体" w:hAnsi="宋体" w:eastAsia="宋体" w:cs="宋体"/>
          <w:color w:val="auto"/>
          <w:sz w:val="21"/>
          <w:szCs w:val="21"/>
          <w:highlight w:val="none"/>
        </w:rPr>
        <w:t xml:space="preserve">（南京市江宁区交通运输局）</w:t>
      </w:r>
      <w:r>
        <w:rPr>
          <w:rFonts w:hint="eastAsia" w:ascii="宋体" w:hAnsi="宋体" w:eastAsia="宋体" w:cs="宋体"/>
          <w:bCs/>
          <w:color w:val="auto"/>
          <w:sz w:val="21"/>
          <w:szCs w:val="21"/>
          <w:highlight w:val="none"/>
        </w:rPr>
        <w:t xml:space="preserve">的名义投保，投保条件与保险费率由中标人根据江苏省保险行业协会有关公路工程保险的相关规定自行考虑。其费用在采购清单中列支。</w:t>
      </w:r>
      <w:r/>
    </w:p>
    <w:p>
      <w:pPr>
        <w:ind w:firstLine="420"/>
        <w:spacing w:line="312"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据苏人社规[2023]2号文《江苏省人力资源社会保障厅江苏省财政厅江苏省税务局关于印发江苏省工伤保险费率管理办法(修订版)的通知》、苏人社函[2025]1号《省人力资源社会保障厅关于确定2025年全省工程建设项目工伤保险费率的通知》的规定，工伤保险费率为最高投标限价的3‰，费用在采购清单中列支。</w:t>
      </w:r>
      <w:r/>
    </w:p>
    <w:p>
      <w:pPr>
        <w:ind w:firstLine="420"/>
        <w:spacing w:line="312"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中标人装备险和中标人职工的（人身）事故险（包括临时工和民工）均由中标人投保，保险费由中标人承担并支付，其费用含在中标人的投标报价中，采购人不另行计量与支付。中标人负责办理产品在采购、运输过程中的一切保险，保险费由中标人承担。由此发生的相关费用计入采购清单各工程细目的单价或总价中，采购人不再另行计量与支付。</w:t>
      </w:r>
      <w:r/>
    </w:p>
    <w:p>
      <w:pPr>
        <w:ind w:firstLine="420"/>
        <w:spacing w:line="312"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★中标人必须按招标文件和国家有关规定办理各种保险，一旦发生保险范围内的事件，损失由中标人自行承担。</w:t>
      </w:r>
      <w:r/>
    </w:p>
    <w:p>
      <w:pPr>
        <w:ind w:firstLine="420"/>
        <w:spacing w:line="312"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★采购供应商的任何错漏、优惠、竞争性报价不得作为减轻责任、减少工作内容、增加收费、降低质量的理由。所发生的一切费用，视为已包含在采购供应商的最终投标报价。</w:t>
      </w:r>
      <w:r/>
    </w:p>
    <w:p>
      <w:pPr>
        <w:ind w:firstLine="420"/>
        <w:spacing w:line="312"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3.1.2合同条款</w:t>
      </w:r>
      <w:r/>
    </w:p>
    <w:p>
      <w:pPr>
        <w:jc w:val="left"/>
        <w:spacing w:line="312" w:lineRule="auto"/>
        <w:tabs>
          <w:tab w:val="left" w:pos="567" w:leader="none"/>
        </w:tabs>
        <w:rPr>
          <w:rFonts w:hint="eastAsia" w:ascii="宋体" w:hAnsi="宋体" w:eastAsia="宋体" w:cs="宋体"/>
          <w:color w:val="auto"/>
          <w:sz w:val="21"/>
          <w:szCs w:val="21"/>
          <w:highlight w:val="none"/>
        </w:rPr>
        <w:outlineLvl w:val="7"/>
      </w:pPr>
      <w:r/>
      <w:bookmarkStart w:id="43" w:name="_Toc489452715"/>
      <w:r>
        <w:rPr>
          <w:rFonts w:hint="eastAsia" w:ascii="宋体" w:hAnsi="宋体" w:eastAsia="宋体" w:cs="宋体"/>
          <w:bCs/>
          <w:color w:val="auto"/>
          <w:sz w:val="21"/>
          <w:szCs w:val="21"/>
          <w:highlight w:val="none"/>
        </w:rPr>
        <w:t xml:space="preserve">★</w:t>
      </w:r>
      <w:r>
        <w:rPr>
          <w:rFonts w:hint="eastAsia" w:ascii="宋体" w:hAnsi="宋体" w:eastAsia="宋体" w:cs="宋体"/>
          <w:b/>
          <w:bCs/>
          <w:color w:val="auto"/>
          <w:sz w:val="21"/>
          <w:szCs w:val="21"/>
          <w:highlight w:val="none"/>
        </w:rPr>
        <w:t xml:space="preserve">名词解释</w:t>
      </w:r>
      <w:r/>
    </w:p>
    <w:p>
      <w:pPr>
        <w:ind w:firstLine="42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除另有说明外，下列名词的含义如下：</w:t>
      </w:r>
      <w:r/>
    </w:p>
    <w:p>
      <w:pPr>
        <w:numPr>
          <w:ilvl w:val="0"/>
          <w:numId w:val="4"/>
        </w:numPr>
        <w:ind w:left="0" w:firstLine="42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w:t>
      </w:r>
      <w:r/>
    </w:p>
    <w:p>
      <w:pPr>
        <w:jc w:val="left"/>
        <w:spacing w:line="560" w:lineRule="exact"/>
        <w:tabs>
          <w:tab w:val="left" w:pos="36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是指本项目的采购主体。本项目采购人是南京市江宁区交通运输局（又称为“业主”）。</w:t>
      </w:r>
      <w:r/>
    </w:p>
    <w:p>
      <w:pPr>
        <w:numPr>
          <w:ilvl w:val="0"/>
          <w:numId w:val="4"/>
        </w:numPr>
        <w:ind w:left="0" w:firstLine="42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w:t>
      </w:r>
      <w:r/>
    </w:p>
    <w:p>
      <w:pPr>
        <w:ind w:firstLine="42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是指接到采购单位成交结果通知，并与采购单位签订了承包协议书的中标人。</w:t>
      </w:r>
      <w:r/>
    </w:p>
    <w:p>
      <w:pPr>
        <w:numPr>
          <w:ilvl w:val="0"/>
          <w:numId w:val="4"/>
        </w:numPr>
        <w:ind w:left="0" w:firstLine="42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项目负责人</w:t>
      </w:r>
      <w:r/>
    </w:p>
    <w:p>
      <w:pPr>
        <w:ind w:firstLine="42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是指由供应商委派、全面负责按合同规定提供本项目服务的技术和经济的代理人，本合同中项目负责人指项目经理和项目总工。</w:t>
      </w:r>
      <w:r/>
    </w:p>
    <w:p>
      <w:pPr>
        <w:numPr>
          <w:ilvl w:val="0"/>
          <w:numId w:val="4"/>
        </w:numPr>
        <w:ind w:left="0" w:firstLine="42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工作</w:t>
      </w:r>
      <w:r/>
    </w:p>
    <w:p>
      <w:pPr>
        <w:ind w:firstLine="42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是指列入本合同必须完成的全部工作（包括临时工程以及由符合程序而签署变更通知的额外工作）。</w:t>
      </w:r>
      <w:r/>
    </w:p>
    <w:p>
      <w:pPr>
        <w:numPr>
          <w:ilvl w:val="0"/>
          <w:numId w:val="4"/>
        </w:numPr>
        <w:ind w:left="0" w:firstLine="42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养护设备</w:t>
      </w:r>
      <w:r/>
    </w:p>
    <w:p>
      <w:pPr>
        <w:ind w:firstLine="42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是指供应商为实施完成本合同项目以及临时工程、临时设施和维护项目所必须的全部机械、器具等。</w:t>
      </w:r>
      <w:r/>
    </w:p>
    <w:p>
      <w:pPr>
        <w:numPr>
          <w:ilvl w:val="0"/>
          <w:numId w:val="4"/>
        </w:numPr>
        <w:ind w:left="0" w:firstLine="42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合同价款</w:t>
      </w:r>
      <w:r/>
    </w:p>
    <w:p>
      <w:pPr>
        <w:ind w:firstLine="42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是指供应商在投标函中标出，并经按本合同条款中的有关规定予以增、减后的总金额。</w:t>
      </w:r>
      <w:r/>
    </w:p>
    <w:p>
      <w:pPr>
        <w:numPr>
          <w:ilvl w:val="0"/>
          <w:numId w:val="4"/>
        </w:numPr>
        <w:ind w:left="0" w:firstLine="42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技术规范</w:t>
      </w:r>
      <w:r/>
    </w:p>
    <w:p>
      <w:pPr>
        <w:ind w:firstLine="42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是指招标文件中的技术规范。该规范是根据养护项目相关规范合编的，是本合同项目养护技术要求。</w:t>
      </w:r>
      <w:r/>
    </w:p>
    <w:p>
      <w:pPr>
        <w:numPr>
          <w:ilvl w:val="0"/>
          <w:numId w:val="4"/>
        </w:numPr>
        <w:ind w:left="0" w:firstLine="42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w:t>
      </w:r>
      <w:r/>
    </w:p>
    <w:p>
      <w:pPr>
        <w:ind w:firstLine="42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是采购人和供应商法定代表人或其授权代表之间正式签订的相互明确权利和义务关系的协议。</w:t>
      </w:r>
      <w:r/>
    </w:p>
    <w:p>
      <w:pPr>
        <w:numPr>
          <w:ilvl w:val="0"/>
          <w:numId w:val="4"/>
        </w:numPr>
        <w:ind w:left="0" w:firstLine="42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暂列金额</w:t>
      </w:r>
      <w:r/>
    </w:p>
    <w:p>
      <w:pPr>
        <w:ind w:firstLine="42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暂列金额是在投标报价表中标明列入合同价的一项款额，作为项目不可预见的预备费用，按采购清单小计的比例计列，本次采购不计列。</w:t>
      </w:r>
      <w:r/>
    </w:p>
    <w:p>
      <w:pPr>
        <w:numPr>
          <w:ilvl w:val="0"/>
          <w:numId w:val="4"/>
        </w:numPr>
        <w:ind w:left="0" w:firstLine="42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年、月和日</w:t>
      </w:r>
      <w:r/>
    </w:p>
    <w:p>
      <w:pPr>
        <w:ind w:firstLine="42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都应按公历计算。天：是指日历天。</w:t>
      </w:r>
      <w:r/>
    </w:p>
    <w:p>
      <w:pPr>
        <w:numPr>
          <w:ilvl w:val="0"/>
          <w:numId w:val="4"/>
        </w:numPr>
        <w:ind w:left="0" w:firstLine="42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元</w:t>
      </w:r>
      <w:r>
        <w:rPr>
          <w:rFonts w:hint="eastAsia" w:ascii="宋体" w:hAnsi="宋体" w:eastAsia="宋体" w:cs="宋体"/>
          <w:color w:val="auto"/>
          <w:sz w:val="21"/>
          <w:szCs w:val="21"/>
          <w:highlight w:val="none"/>
        </w:rPr>
        <w:t xml:space="preserve">是指人民币元，是本合同中的货币单位。</w:t>
      </w:r>
      <w:r/>
    </w:p>
    <w:p>
      <w:pPr>
        <w:jc w:val="left"/>
        <w:spacing w:line="312" w:lineRule="auto"/>
        <w:tabs>
          <w:tab w:val="left" w:pos="567" w:leader="none"/>
        </w:tabs>
        <w:rPr>
          <w:rFonts w:hint="eastAsia" w:ascii="宋体" w:hAnsi="宋体" w:eastAsia="宋体" w:cs="宋体"/>
          <w:b/>
          <w:bCs/>
          <w:color w:val="auto"/>
          <w:sz w:val="21"/>
          <w:szCs w:val="21"/>
          <w:highlight w:val="none"/>
        </w:rPr>
        <w:outlineLvl w:val="7"/>
      </w:pPr>
      <w:r>
        <w:rPr>
          <w:rFonts w:hint="eastAsia" w:ascii="宋体" w:hAnsi="宋体" w:eastAsia="宋体" w:cs="宋体"/>
          <w:bCs/>
          <w:color w:val="auto"/>
          <w:sz w:val="21"/>
          <w:szCs w:val="21"/>
          <w:highlight w:val="none"/>
        </w:rPr>
        <w:t xml:space="preserve">★</w:t>
      </w:r>
      <w:r>
        <w:rPr>
          <w:rFonts w:hint="eastAsia" w:ascii="宋体" w:hAnsi="宋体" w:eastAsia="宋体" w:cs="宋体"/>
          <w:b/>
          <w:bCs/>
          <w:color w:val="auto"/>
          <w:sz w:val="21"/>
          <w:szCs w:val="21"/>
          <w:highlight w:val="none"/>
        </w:rPr>
        <w:t xml:space="preserve">项目概况</w:t>
      </w:r>
      <w:r/>
    </w:p>
    <w:p>
      <w:pPr>
        <w:numPr>
          <w:ilvl w:val="0"/>
          <w:numId w:val="5"/>
        </w:numPr>
        <w:ind w:left="0" w:firstLine="422"/>
        <w:spacing w:line="312"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项目名称：</w:t>
      </w:r>
      <w:r>
        <w:rPr>
          <w:rFonts w:hint="eastAsia" w:ascii="宋体" w:hAnsi="宋体" w:eastAsia="宋体" w:cs="宋体"/>
          <w:b/>
          <w:bCs/>
          <w:color w:val="auto"/>
          <w:sz w:val="21"/>
          <w:szCs w:val="21"/>
          <w:highlight w:val="none"/>
          <w:u w:val="single"/>
          <w:lang w:val="zh-CN"/>
        </w:rPr>
        <w:t xml:space="preserve">2026年S122汤山段辅道日常养护</w:t>
      </w:r>
      <w:r>
        <w:rPr>
          <w:rFonts w:hint="eastAsia" w:ascii="宋体" w:hAnsi="宋体" w:eastAsia="宋体" w:cs="宋体"/>
          <w:b/>
          <w:bCs/>
          <w:color w:val="auto"/>
          <w:sz w:val="21"/>
          <w:szCs w:val="21"/>
          <w:highlight w:val="none"/>
          <w:u w:val="single"/>
        </w:rPr>
        <w:t xml:space="preserve">项目</w:t>
      </w:r>
      <w:r/>
    </w:p>
    <w:p>
      <w:pPr>
        <w:numPr>
          <w:ilvl w:val="0"/>
          <w:numId w:val="5"/>
        </w:numPr>
        <w:ind w:left="0" w:firstLine="422"/>
        <w:spacing w:line="312"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项目地点：南京市江宁区</w:t>
      </w:r>
      <w:r/>
    </w:p>
    <w:p>
      <w:pPr>
        <w:numPr>
          <w:ilvl w:val="0"/>
          <w:numId w:val="5"/>
        </w:numPr>
        <w:ind w:left="0" w:firstLine="422"/>
        <w:spacing w:line="312"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项目内容：日常养护相关工作（包含道路和桥涵、隧道、排水、隧道日常养护、小修保养及应急养护、绿化养护以及冬防、防汛等恶劣天气处置等工作）。</w:t>
      </w:r>
      <w:r/>
    </w:p>
    <w:p>
      <w:pPr>
        <w:numPr>
          <w:ilvl w:val="0"/>
          <w:numId w:val="5"/>
        </w:numPr>
        <w:ind w:left="0" w:firstLine="422"/>
        <w:spacing w:line="312"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日常养护及小修保养的具体内容参考</w:t>
      </w:r>
      <w:r>
        <w:rPr>
          <w:rFonts w:hint="eastAsia" w:ascii="宋体" w:hAnsi="宋体" w:eastAsia="宋体" w:cs="宋体"/>
          <w:color w:val="auto"/>
          <w:sz w:val="21"/>
          <w:szCs w:val="21"/>
          <w:highlight w:val="none"/>
        </w:rPr>
        <w:t xml:space="preserve">交通运输部《公路养护技术标准》（JTG 5110—2023）、《公路桥涵养护规范》（JTG 5120-2021）、《公路技术状况评定标准》（JTG 5210—2018）、《农村公路养护技术规范》（JTG 5190—2019）、《公路养护安全作业规程》（JTG H30-2015）、《市公路中心关于印发普通国省道日常养护考核办法（试行）的通知》（宁路养〔2024〕43号）、《江宁区公路中心关于印发关于干线公路养护管理考核通知》（江宁路养〔2024〕23号）等现行规范中规定的各项技术要求及采购人要求</w:t>
      </w:r>
      <w:r>
        <w:rPr>
          <w:rFonts w:hint="eastAsia" w:ascii="宋体" w:hAnsi="宋体" w:eastAsia="宋体" w:cs="宋体"/>
          <w:b/>
          <w:bCs/>
          <w:color w:val="auto"/>
          <w:sz w:val="21"/>
          <w:szCs w:val="21"/>
          <w:highlight w:val="none"/>
        </w:rPr>
        <w:t xml:space="preserve">。</w:t>
      </w:r>
      <w:r/>
    </w:p>
    <w:p>
      <w:pPr>
        <w:numPr>
          <w:ilvl w:val="0"/>
          <w:numId w:val="5"/>
        </w:numPr>
        <w:ind w:left="0" w:firstLine="422"/>
        <w:spacing w:line="312"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养护期限：2026年1月1日至2026年12月31日，合计365日历天。（工期以实际开工、交工时间为准）。缺陷责任期：基价类：无；单价类：6个月。</w:t>
      </w:r>
      <w:r/>
    </w:p>
    <w:p>
      <w:pPr>
        <w:numPr>
          <w:ilvl w:val="0"/>
          <w:numId w:val="5"/>
        </w:numPr>
        <w:ind w:left="0" w:firstLine="422"/>
        <w:spacing w:line="312" w:lineRule="auto"/>
        <w:rPr>
          <w:rFonts w:hint="eastAsia" w:ascii="宋体" w:hAnsi="宋体" w:eastAsia="宋体" w:cs="宋体"/>
          <w:b/>
          <w:bCs/>
          <w:color w:val="auto"/>
          <w:sz w:val="21"/>
          <w:szCs w:val="21"/>
          <w:highlight w:val="none"/>
          <w:shd w:val="clear" w:color="auto" w:fill="ffffff"/>
        </w:rPr>
      </w:pPr>
      <w:r>
        <w:rPr>
          <w:rFonts w:hint="eastAsia" w:ascii="宋体" w:hAnsi="宋体" w:eastAsia="宋体" w:cs="宋体"/>
          <w:b/>
          <w:bCs/>
          <w:color w:val="auto"/>
          <w:sz w:val="21"/>
          <w:szCs w:val="21"/>
          <w:highlight w:val="none"/>
        </w:rPr>
        <w:t xml:space="preserve">质量要求：日常保养及应急处置：达到《公路养护技术标准》、江宁路养〔2024〕23号）等文件的标准及采购人要求；日常维修：交工验收的质量等级合格。</w:t>
      </w:r>
      <w:r/>
    </w:p>
    <w:p>
      <w:pPr>
        <w:jc w:val="left"/>
        <w:spacing w:line="312" w:lineRule="auto"/>
        <w:tabs>
          <w:tab w:val="left" w:pos="567" w:leader="none"/>
        </w:tabs>
        <w:rPr>
          <w:rFonts w:hint="eastAsia" w:ascii="宋体" w:hAnsi="宋体" w:eastAsia="宋体" w:cs="宋体"/>
          <w:b/>
          <w:bCs/>
          <w:color w:val="auto"/>
          <w:sz w:val="21"/>
          <w:szCs w:val="21"/>
          <w:highlight w:val="none"/>
        </w:rPr>
        <w:outlineLvl w:val="7"/>
      </w:pPr>
      <w:r>
        <w:rPr>
          <w:rFonts w:hint="eastAsia" w:ascii="宋体" w:hAnsi="宋体" w:eastAsia="宋体" w:cs="宋体"/>
          <w:bCs/>
          <w:color w:val="auto"/>
          <w:sz w:val="21"/>
          <w:szCs w:val="21"/>
          <w:highlight w:val="none"/>
        </w:rPr>
        <w:t xml:space="preserve">★</w:t>
      </w:r>
      <w:r>
        <w:rPr>
          <w:rFonts w:hint="eastAsia" w:ascii="宋体" w:hAnsi="宋体" w:eastAsia="宋体" w:cs="宋体"/>
          <w:b/>
          <w:bCs/>
          <w:color w:val="auto"/>
          <w:sz w:val="21"/>
          <w:szCs w:val="21"/>
          <w:highlight w:val="none"/>
        </w:rPr>
        <w:t xml:space="preserve">养护质量及验收标准和依据</w:t>
      </w:r>
      <w:r/>
    </w:p>
    <w:p>
      <w:pPr>
        <w:numPr>
          <w:ilvl w:val="0"/>
          <w:numId w:val="6"/>
        </w:numPr>
        <w:ind w:left="0" w:firstLine="422"/>
        <w:spacing w:line="312"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养护工作必须全面达到最新《公路养护技术规范》《公路桥涵养护规范》《公路隧道养护技术规范》《公路养护安全作业规程》等现行技术规范和行业标准、管理办法及采购人要求规定的各项技术要求。</w:t>
      </w:r>
      <w:r/>
    </w:p>
    <w:p>
      <w:pPr>
        <w:numPr>
          <w:ilvl w:val="0"/>
          <w:numId w:val="6"/>
        </w:numPr>
        <w:ind w:left="0" w:firstLine="422"/>
        <w:spacing w:line="312"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以采购人代表或监理以书面形式批准的变更通知或施工指导意见、国家颁发的施工技术或验收规范和质量检验标准及有关规定、合同要求为依据。质量等级为合格 。</w:t>
      </w:r>
      <w:r/>
    </w:p>
    <w:p>
      <w:pPr>
        <w:numPr>
          <w:ilvl w:val="0"/>
          <w:numId w:val="6"/>
        </w:numPr>
        <w:ind w:left="0" w:firstLine="422"/>
        <w:spacing w:line="312"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每个季度末采购人对供应商的养护质量进行综合考评。综合考评由定期考核和不定期检查组成。具体考核办法采购人将另行制定。</w:t>
      </w:r>
      <w:r/>
    </w:p>
    <w:p>
      <w:pPr>
        <w:jc w:val="left"/>
        <w:spacing w:line="312" w:lineRule="auto"/>
        <w:tabs>
          <w:tab w:val="left" w:pos="567" w:leader="none"/>
        </w:tabs>
        <w:rPr>
          <w:rFonts w:hint="eastAsia" w:ascii="宋体" w:hAnsi="宋体" w:eastAsia="宋体" w:cs="宋体"/>
          <w:color w:val="auto"/>
          <w:sz w:val="21"/>
          <w:szCs w:val="21"/>
          <w:highlight w:val="none"/>
        </w:rPr>
        <w:outlineLvl w:val="7"/>
      </w:pPr>
      <w:r>
        <w:rPr>
          <w:rFonts w:hint="eastAsia" w:ascii="宋体" w:hAnsi="宋体" w:eastAsia="宋体" w:cs="宋体"/>
          <w:bCs/>
          <w:color w:val="auto"/>
          <w:sz w:val="21"/>
          <w:szCs w:val="21"/>
          <w:highlight w:val="none"/>
        </w:rPr>
        <w:t xml:space="preserve">★</w:t>
      </w:r>
      <w:r>
        <w:rPr>
          <w:rFonts w:hint="eastAsia" w:ascii="宋体" w:hAnsi="宋体" w:eastAsia="宋体" w:cs="宋体"/>
          <w:b/>
          <w:bCs/>
          <w:color w:val="auto"/>
          <w:sz w:val="21"/>
          <w:szCs w:val="21"/>
          <w:highlight w:val="none"/>
        </w:rPr>
        <w:t xml:space="preserve">双方的权利与义务</w:t>
      </w:r>
      <w:r/>
    </w:p>
    <w:p>
      <w:pPr>
        <w:numPr>
          <w:ilvl w:val="0"/>
          <w:numId w:val="7"/>
        </w:numPr>
        <w:ind w:left="0" w:firstLine="398"/>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采购人主要义务</w:t>
      </w:r>
      <w:r/>
    </w:p>
    <w:p>
      <w:pPr>
        <w:numPr>
          <w:ilvl w:val="0"/>
          <w:numId w:val="8"/>
        </w:numPr>
        <w:ind w:left="0" w:firstLine="398"/>
        <w:spacing w:line="312" w:lineRule="auto"/>
        <w:tabs>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提供与本项目相关的相关资料。</w:t>
      </w:r>
      <w:r/>
    </w:p>
    <w:p>
      <w:pPr>
        <w:numPr>
          <w:ilvl w:val="0"/>
          <w:numId w:val="8"/>
        </w:numPr>
        <w:ind w:left="0" w:firstLine="398"/>
        <w:spacing w:line="312" w:lineRule="auto"/>
        <w:tabs>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制定本合同项目的管理制度、技术要求等。</w:t>
      </w:r>
      <w:r/>
    </w:p>
    <w:p>
      <w:pPr>
        <w:numPr>
          <w:ilvl w:val="0"/>
          <w:numId w:val="8"/>
        </w:numPr>
        <w:ind w:left="0" w:firstLine="398"/>
        <w:spacing w:line="312" w:lineRule="auto"/>
        <w:tabs>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检查和监督供应商的施工管理、施工质量、进度以及安全生产和环境保护工作。</w:t>
      </w:r>
      <w:r/>
    </w:p>
    <w:p>
      <w:pPr>
        <w:numPr>
          <w:ilvl w:val="0"/>
          <w:numId w:val="8"/>
        </w:numPr>
        <w:ind w:left="0" w:firstLine="398"/>
        <w:spacing w:line="312" w:lineRule="auto"/>
        <w:tabs>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审查供应商上报且经审核的计量支付申请，按时支付合同款。</w:t>
      </w:r>
      <w:r/>
    </w:p>
    <w:p>
      <w:pPr>
        <w:numPr>
          <w:ilvl w:val="0"/>
          <w:numId w:val="8"/>
        </w:numPr>
        <w:ind w:left="0" w:firstLine="398"/>
        <w:spacing w:line="312" w:lineRule="auto"/>
        <w:tabs>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依据相关养护行业标准组织小修保养及应急处置的过程检查及工程验收。</w:t>
      </w:r>
      <w:r/>
    </w:p>
    <w:p>
      <w:pPr>
        <w:numPr>
          <w:ilvl w:val="0"/>
          <w:numId w:val="8"/>
        </w:numPr>
        <w:ind w:left="0" w:firstLine="422"/>
        <w:spacing w:line="312" w:lineRule="auto"/>
        <w:tabs>
          <w:tab w:val="left" w:pos="1134" w:leader="none"/>
        </w:tabs>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本项目的道路路灯、信号灯、监控、隧道照明所需电力由采购人提供，相应费用由采购人直接支付给电力公司。</w:t>
      </w:r>
      <w:r/>
    </w:p>
    <w:p>
      <w:pPr>
        <w:ind w:firstLine="398"/>
        <w:spacing w:line="312" w:lineRule="auto"/>
        <w:tabs>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（7）双方约定采购人应做的其他工作。</w:t>
      </w:r>
      <w:r/>
    </w:p>
    <w:p>
      <w:pPr>
        <w:numPr>
          <w:ilvl w:val="0"/>
          <w:numId w:val="7"/>
        </w:numPr>
        <w:ind w:left="0" w:firstLine="398"/>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供应商主要义务</w:t>
      </w:r>
      <w:r/>
    </w:p>
    <w:p>
      <w:pPr>
        <w:numPr>
          <w:ilvl w:val="0"/>
          <w:numId w:val="9"/>
        </w:numPr>
        <w:ind w:left="0" w:firstLine="398"/>
        <w:spacing w:line="312" w:lineRule="auto"/>
        <w:tabs>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建立健全自身的规章制度，完成本项目合同范围内的养护管理工作，向采购人或其代表提供养护计划及相应的进度统计报表和报告等资料。</w:t>
      </w:r>
      <w:r/>
    </w:p>
    <w:p>
      <w:pPr>
        <w:numPr>
          <w:ilvl w:val="0"/>
          <w:numId w:val="9"/>
        </w:numPr>
        <w:ind w:left="0" w:firstLine="398"/>
        <w:spacing w:line="312" w:lineRule="auto"/>
        <w:tabs>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不得随意拖延维修时间（不可抗力的因素除外），供应商应在24小时内完成一般病害的养护修复任务，严重影响交通安全的病害应及时处理，对严重病害以及技术有特殊性要求的项目应采取必要的措施。若中标人未能响应，采购人将按合同条款的规定进行处理。</w:t>
      </w:r>
      <w:r/>
    </w:p>
    <w:p>
      <w:pPr>
        <w:numPr>
          <w:ilvl w:val="0"/>
          <w:numId w:val="9"/>
        </w:numPr>
        <w:ind w:left="0" w:firstLine="398"/>
        <w:spacing w:line="312" w:lineRule="auto"/>
        <w:tabs>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办理施工所需有关证件和批件，并协调交警、路政及地方等关系。</w:t>
      </w:r>
      <w:r/>
    </w:p>
    <w:p>
      <w:pPr>
        <w:numPr>
          <w:ilvl w:val="0"/>
          <w:numId w:val="9"/>
        </w:numPr>
        <w:ind w:left="0" w:firstLine="420"/>
        <w:spacing w:line="312" w:lineRule="auto"/>
        <w:tabs>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按招标文件的技术规范以及采购人或其代表的要求完成本项目合同范围内的日常养护工作。</w:t>
      </w:r>
      <w:r>
        <w:rPr>
          <w:rFonts w:hint="eastAsia" w:ascii="宋体" w:hAnsi="宋体" w:eastAsia="宋体" w:cs="宋体"/>
          <w:color w:val="auto"/>
          <w:sz w:val="21"/>
          <w:szCs w:val="21"/>
          <w:highlight w:val="none"/>
        </w:rPr>
        <w:t xml:space="preserve">养护期间服从采购人或其代表的现场管理、监督、检查和验收，采取切实可行的措施，确保按期完成采购人委托的养护任务，并保证达到采购人要求的质量等级。</w:t>
      </w:r>
      <w:r/>
    </w:p>
    <w:p>
      <w:pPr>
        <w:numPr>
          <w:ilvl w:val="0"/>
          <w:numId w:val="9"/>
        </w:numPr>
        <w:ind w:left="0" w:firstLine="420"/>
        <w:spacing w:line="312" w:lineRule="auto"/>
        <w:tabs>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中标人应加强养护巡查，做好巡查记录，以及上级部门要求的各类台账,及时进行维护，对巡查发现的重大问题及时通报业主代表。</w:t>
      </w:r>
      <w:r/>
    </w:p>
    <w:p>
      <w:pPr>
        <w:numPr>
          <w:ilvl w:val="0"/>
          <w:numId w:val="9"/>
        </w:numPr>
        <w:ind w:left="0" w:firstLine="398"/>
        <w:spacing w:line="312" w:lineRule="auto"/>
        <w:tabs>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合同实施期间，按照有关规定供应商应向交警、城管、路政等行政主管部门办理行政许可，取得其同意，为此所发生的相关费用不单独计量与支付，包含在投标总价中。</w:t>
      </w:r>
      <w:r/>
    </w:p>
    <w:p>
      <w:pPr>
        <w:numPr>
          <w:ilvl w:val="0"/>
          <w:numId w:val="9"/>
        </w:numPr>
        <w:ind w:left="0" w:firstLine="398"/>
        <w:jc w:val="left"/>
        <w:spacing w:line="312" w:lineRule="auto"/>
        <w:tabs>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应有完备的原材料及施工、养护自检资料，报验资料和计量资料及时</w:t>
      </w:r>
      <w:r>
        <w:rPr>
          <w:rFonts w:hint="eastAsia" w:ascii="宋体" w:hAnsi="宋体" w:eastAsia="宋体" w:cs="宋体"/>
          <w:color w:val="auto"/>
          <w:sz w:val="21"/>
          <w:szCs w:val="21"/>
          <w:highlight w:val="none"/>
        </w:rPr>
        <w:t xml:space="preserve">报采购人或其代表审核。工作结束后按采购人要求提交相关的养护资料及其相应的电子文档一份，并配合采购人进行工程验收。</w:t>
      </w:r>
      <w:r/>
    </w:p>
    <w:p>
      <w:pPr>
        <w:numPr>
          <w:ilvl w:val="0"/>
          <w:numId w:val="9"/>
        </w:numPr>
        <w:ind w:left="0" w:firstLine="420"/>
        <w:jc w:val="left"/>
        <w:spacing w:line="312" w:lineRule="auto"/>
        <w:tabs>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严格遵守工程建设安全生产的有关规定，严格按照安全标准施工，采取必要的安全防护措施并对施工人员进行安全生产教育和管理；健全组织制度，指定主要领导负责安全工作，确保作业人员和车辆、设备的安全。</w:t>
      </w:r>
      <w:r/>
    </w:p>
    <w:p>
      <w:pPr>
        <w:numPr>
          <w:ilvl w:val="0"/>
          <w:numId w:val="9"/>
        </w:numPr>
        <w:ind w:left="0" w:firstLine="420"/>
        <w:jc w:val="left"/>
        <w:spacing w:line="312" w:lineRule="auto"/>
        <w:tabs>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上路作业应按规定办理相关手续，并服从公安、路政部门的管理，施工时按相关要求摆放标志标牌等，作业人员须穿着统一的安全标志服在作业封闭区内作业，严禁随意穿越车道；在作业封闭区内的车辆和设备应按要求设置安全标志，并开启黄色警示灯和双跳灯；运输车辆进出作业封闭区应遵守现场管理人员指挥，严禁私自开启中央分隔带开口调头；白天滞留在公路上的养护车辆及设备应整齐地停放，不得侵占行车道，并按规定设置相应的警示和隔离标志。</w:t>
      </w:r>
      <w:r/>
    </w:p>
    <w:p>
      <w:pPr>
        <w:numPr>
          <w:ilvl w:val="0"/>
          <w:numId w:val="9"/>
        </w:numPr>
        <w:ind w:left="0" w:firstLine="420"/>
        <w:jc w:val="left"/>
        <w:spacing w:line="312" w:lineRule="auto"/>
        <w:tabs>
          <w:tab w:val="left" w:pos="1134" w:leader="none"/>
        </w:tabs>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供应商在施工过程中发生的任何交通、生产事故造成财产损失或人员伤亡的，以及与其他第三方发生的任何纠纷或事故，采购人概不承担任何责任和费用，</w:t>
      </w:r>
      <w:r>
        <w:rPr>
          <w:rFonts w:hint="eastAsia" w:ascii="宋体" w:hAnsi="宋体" w:eastAsia="宋体" w:cs="宋体"/>
          <w:b/>
          <w:bCs/>
          <w:color w:val="auto"/>
          <w:sz w:val="21"/>
          <w:szCs w:val="21"/>
          <w:highlight w:val="none"/>
        </w:rPr>
        <w:t xml:space="preserve">由供应商自行承担相关费用。</w:t>
      </w:r>
      <w:r/>
    </w:p>
    <w:p>
      <w:pPr>
        <w:numPr>
          <w:ilvl w:val="0"/>
          <w:numId w:val="9"/>
        </w:numPr>
        <w:ind w:left="0" w:firstLine="422"/>
        <w:jc w:val="left"/>
        <w:spacing w:line="312" w:lineRule="auto"/>
        <w:tabs>
          <w:tab w:val="left" w:pos="1134"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供应商未按规定进行养护作业，由于路面抛洒、油污、病害等原因造成</w:t>
      </w:r>
      <w:r>
        <w:rPr>
          <w:rFonts w:hint="eastAsia" w:ascii="宋体" w:hAnsi="宋体" w:eastAsia="宋体" w:cs="宋体"/>
          <w:b/>
          <w:bCs/>
          <w:color w:val="auto"/>
          <w:sz w:val="21"/>
          <w:szCs w:val="21"/>
          <w:highlight w:val="none"/>
        </w:rPr>
        <w:t xml:space="preserve">任何交通、生产事故以及与其他第三方发生的任何纠纷或事故，任何责任和费用均由供应商自行承担。</w:t>
      </w:r>
      <w:r/>
    </w:p>
    <w:p>
      <w:pPr>
        <w:numPr>
          <w:ilvl w:val="0"/>
          <w:numId w:val="9"/>
        </w:numPr>
        <w:ind w:left="0" w:firstLine="420"/>
        <w:jc w:val="left"/>
        <w:spacing w:line="312" w:lineRule="auto"/>
        <w:tabs>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遵守《江苏省公路条例》的有关规定，服从公安、路政部门的管理，自觉保护施工公路路产；遵守地方政府和有关部门对施工场地交通和施工噪音等管理规定，否则将承担由此造成的有权部门的处罚。</w:t>
      </w:r>
      <w:r/>
    </w:p>
    <w:p>
      <w:pPr>
        <w:numPr>
          <w:ilvl w:val="0"/>
          <w:numId w:val="9"/>
        </w:numPr>
        <w:ind w:left="0" w:firstLine="420"/>
        <w:jc w:val="left"/>
        <w:spacing w:line="312" w:lineRule="auto"/>
        <w:tabs>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负责施工现场的环境保护工作，保证施工现场环境符合有关规定，加强对作业人员的环境保护意识教育。施工废料应按业主指定的堆放点集中堆放，任何施工及生活垃圾必须妥善处理，不得抛洒在道路用地界内，在施工中应加强设备和材料的管理，不得抛、洒、滴、漏污染路面，否则承担相关部门对其的经济处罚。</w:t>
      </w:r>
      <w:r/>
    </w:p>
    <w:p>
      <w:pPr>
        <w:numPr>
          <w:ilvl w:val="0"/>
          <w:numId w:val="9"/>
        </w:numPr>
        <w:ind w:left="0" w:firstLine="420"/>
        <w:jc w:val="left"/>
        <w:spacing w:line="312" w:lineRule="auto"/>
        <w:tabs>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供应商严格遵守</w:t>
      </w:r>
      <w:r>
        <w:rPr>
          <w:rFonts w:hint="eastAsia" w:ascii="宋体" w:hAnsi="宋体" w:eastAsia="宋体" w:cs="宋体"/>
          <w:color w:val="auto"/>
          <w:sz w:val="21"/>
          <w:szCs w:val="21"/>
          <w:highlight w:val="none"/>
        </w:rPr>
        <w:t xml:space="preserve">《保障农民工工资支付条例》（中华人民共和国国务院令第724号）、《江苏省工程建设领域农民工工资专用账户管理细则》（苏人社规〔2022〕3号）、《江苏省工程建设领域农民工工资保证金管理办法》（苏人社规〔2022〕4号）、《省交通运输厅关于交通工程建设领域保障农民工工资支付的意见》（苏交规〔2021〕2号）</w:t>
      </w:r>
      <w:r>
        <w:rPr>
          <w:rFonts w:hint="eastAsia" w:ascii="宋体" w:hAnsi="宋体" w:eastAsia="宋体" w:cs="宋体"/>
          <w:color w:val="auto"/>
          <w:sz w:val="21"/>
          <w:szCs w:val="21"/>
          <w:highlight w:val="none"/>
        </w:rPr>
        <w:t xml:space="preserve">的相关规定，积极缴纳农民工工资保证金，建立农民工工资（劳务费）专用账户，实行农民工实名制管理，按月足额支付农民工工资。</w:t>
      </w:r>
      <w:r/>
    </w:p>
    <w:p>
      <w:pPr>
        <w:numPr>
          <w:ilvl w:val="0"/>
          <w:numId w:val="9"/>
        </w:numPr>
        <w:ind w:left="0" w:firstLine="420"/>
        <w:jc w:val="left"/>
        <w:spacing w:line="312" w:lineRule="auto"/>
        <w:tabs>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应按照投标承诺和备案合同约定派驻现场技术、经济管理人员，并确保项目管理机构主要成员常驻施工现场，原则上不得调整；确需调整的，需经采购人同意。采购人应在进场施工前严格核对进场施工队伍，供应商擅自改变项目负责人及主要管理人员的，一律不得进场施工。</w:t>
      </w:r>
      <w:r/>
    </w:p>
    <w:p>
      <w:pPr>
        <w:numPr>
          <w:ilvl w:val="0"/>
          <w:numId w:val="9"/>
        </w:numPr>
        <w:ind w:left="0" w:firstLine="420"/>
        <w:jc w:val="left"/>
        <w:spacing w:line="312" w:lineRule="auto"/>
        <w:tabs>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常小修保养过程中不能封闭交通（特殊情况下的应急处置除外），由此引发的施工安全，临时标牌制作和设置，施工人员、设备、材料等的调配运输等问题，供应商自行考虑，由此产生的费用包含在合同总价中，不单独计量；供应商进入施工现场前，首先与交警、路政、地方政府等部门协调，取得相关手续后方可进入施工现场，所有的协调工作由供应商自行完成，由此产生的费用包含在合同总价中，不单独计量。</w:t>
      </w:r>
      <w:r/>
    </w:p>
    <w:p>
      <w:pPr>
        <w:numPr>
          <w:ilvl w:val="0"/>
          <w:numId w:val="9"/>
        </w:numPr>
        <w:ind w:left="0" w:firstLine="420"/>
        <w:jc w:val="left"/>
        <w:spacing w:line="312" w:lineRule="auto"/>
        <w:tabs>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工程施工所需供电、电讯、供水等由投标人自行调查解决，临时供电设施、电讯设施、供水、排污设施的设置必须满足《公路工程施工安全技术规范》的要求，所发生的一切费用含在供应商的投标报价中，采购人不另行计量与支付。</w:t>
      </w:r>
      <w:r/>
    </w:p>
    <w:p>
      <w:pPr>
        <w:numPr>
          <w:ilvl w:val="0"/>
          <w:numId w:val="9"/>
        </w:numPr>
        <w:ind w:left="0" w:firstLine="420"/>
        <w:jc w:val="left"/>
        <w:spacing w:line="312" w:lineRule="auto"/>
        <w:tabs>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于标段中与既有道路有交叉、干扰的地段，施工时应保证施工和交通的安全。因此发生的一切费用不单独计量和支付，包含在投标报价内。如因供应商采取的措施不力，造成本工程工期的拖延或施工费用的增加，均由供应商自行负责。</w:t>
      </w:r>
      <w:r/>
    </w:p>
    <w:p>
      <w:pPr>
        <w:numPr>
          <w:ilvl w:val="0"/>
          <w:numId w:val="9"/>
        </w:numPr>
        <w:ind w:left="0" w:firstLine="420"/>
        <w:jc w:val="left"/>
        <w:spacing w:line="312" w:lineRule="auto"/>
        <w:tabs>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采购人不提供弃土（石）场及环卫绿化垃圾的堆放场地，由供应商自行解决，并符合南京市政府令第301号《南京市渣土运输管理办法》及其他相关部门的现行规定，由此发生的相关费用在投标报价时予以充分考虑，并计入采购清单各细目单价或总额价中。并应保证采购人免于承担因上述场地的使用所引起的补偿费、诉讼费、损害赔偿、处罚费用及其它开支。</w:t>
      </w:r>
      <w:r/>
    </w:p>
    <w:p>
      <w:pPr>
        <w:numPr>
          <w:ilvl w:val="0"/>
          <w:numId w:val="9"/>
        </w:numPr>
        <w:ind w:left="0" w:firstLine="420"/>
        <w:jc w:val="left"/>
        <w:spacing w:line="312" w:lineRule="auto"/>
        <w:tabs>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养护期间，供应商应对原有道路及结构物的安全、交通标志、标牌、各类地下预埋管线、绿化的保护等采取相应的措施以及正常营运等采取相应的措施，供应商应将其采取上述措施而可能发生的全部费用计入投标报价中，采购人将不另行计量与支付，工程实施期间，供应商不得以任何理由对此提出索赔。由于自身施工等原因而对其它合同工程造成污染、损坏、损失等，均应立即免费修复或足额赔偿。</w:t>
      </w:r>
      <w:r/>
    </w:p>
    <w:p>
      <w:pPr>
        <w:ind w:firstLine="42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必须加强对地下管线等相关隐蔽设施的保护，供应商必须事先查明情况，办理相关施工交底手续后，方可进行对隐蔽设施可能产生影响的相关项目施工，否则造成后果，除了由供应商自行承担一切责任外，采购人还将严肃追究供应商的违约责任。</w:t>
      </w:r>
      <w:r/>
    </w:p>
    <w:p>
      <w:pPr>
        <w:numPr>
          <w:ilvl w:val="0"/>
          <w:numId w:val="9"/>
        </w:numPr>
        <w:ind w:left="0" w:firstLine="420"/>
        <w:jc w:val="left"/>
        <w:spacing w:line="312" w:lineRule="auto"/>
        <w:tabs>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供应商应在监理人的指示下，为本项目其他工程提供必要的便利条件。供应商因此发生的一切费用均应含入所报的投标报价中，采购人不再另行计列。</w:t>
      </w:r>
      <w:r/>
    </w:p>
    <w:p>
      <w:pPr>
        <w:numPr>
          <w:ilvl w:val="0"/>
          <w:numId w:val="9"/>
        </w:numPr>
        <w:ind w:left="0" w:firstLine="420"/>
        <w:jc w:val="left"/>
        <w:spacing w:line="312" w:lineRule="auto"/>
        <w:tabs>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应按照《市政府关于进一步加强建设工程文明施工管理的意见》（宁政发〔2013〕137号）、《南京市渣土运输管理办法》（政府令第301号）、《关于加强建筑工地施工机械及工程车辆使用清洁油品管理的通知》以及施工安全、文明、环保等现行相关规定执行，所需相关费用计入采购清单各工程细目的单价或总价中，采购人不另计列。并应保证采购人免于承担因上述事宜所引起的补偿费、诉讼费、损害赔偿、指控费用及其它开支。</w:t>
      </w:r>
      <w:r/>
    </w:p>
    <w:p>
      <w:pPr>
        <w:numPr>
          <w:ilvl w:val="0"/>
          <w:numId w:val="9"/>
        </w:numPr>
        <w:ind w:left="0" w:firstLine="420"/>
        <w:jc w:val="left"/>
        <w:spacing w:line="312" w:lineRule="auto"/>
        <w:tabs>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每次养护修复量可能较小，小修保养及应急处置的项目较多，但单次的养护修复量可能较小，因此供应商应充分考虑设备、人力及其他因素的高成本。</w:t>
      </w:r>
      <w:r/>
    </w:p>
    <w:p>
      <w:pPr>
        <w:numPr>
          <w:ilvl w:val="0"/>
          <w:numId w:val="9"/>
        </w:numPr>
        <w:ind w:left="0" w:firstLine="422"/>
        <w:jc w:val="left"/>
        <w:spacing w:line="312" w:lineRule="auto"/>
        <w:tabs>
          <w:tab w:val="left" w:pos="1134"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供应商必须按照公路养护特点，组织制定养护实施中的生产安全事故应急救援预案。因日常养护及特发性事件处置工作不到位，而发生的有碍道路安全 畅通事件，造成交通安全事故或人身损害赔偿案件的，应按照《国务院关于特大安全事故行政责任追究的规定》以及其他有关规定，及时上报有关部门，并坚持 “三不放过”的原则，严肃处理相关责任人，所造成的实际经济损失由供应商承担。</w:t>
      </w:r>
      <w:r/>
    </w:p>
    <w:p>
      <w:pPr>
        <w:numPr>
          <w:ilvl w:val="0"/>
          <w:numId w:val="9"/>
        </w:numPr>
        <w:ind w:left="0" w:firstLine="420"/>
        <w:jc w:val="left"/>
        <w:spacing w:line="312" w:lineRule="auto"/>
        <w:tabs>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本项目的特点，同时充分考虑自然因素及其他因素的不利影响，在施工过程中采购人可能会要求供应商加快工程的施工进度以确保能按时完成本工程，供应商应无条件服从，各投标人在投标时要充分考虑因此所需的相关赶工费、措施费等相关费用，所需费用均应含入所报的单价或总额价内，采购人不再另行支付。</w:t>
      </w:r>
      <w:r/>
    </w:p>
    <w:p>
      <w:pPr>
        <w:numPr>
          <w:ilvl w:val="0"/>
          <w:numId w:val="9"/>
        </w:numPr>
        <w:ind w:left="0" w:firstLine="420"/>
        <w:jc w:val="left"/>
        <w:spacing w:line="312" w:lineRule="auto"/>
        <w:tabs>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在合同期内应保持随时履行本合同工程的技术能力，配备固定的、具有类似养护施工经验的养护队伍、人员、机械，未经业主代表批准不得随意更换或减少主要养护、保洁人员和机械；根据养护工程的特点，供应商须提供现场施工人员名单，施工机械应能满足养护施工要求，且必须在项目所在地附近设有固定的办公地点，并从开工之日起即能投入使用。</w:t>
      </w:r>
      <w:r/>
    </w:p>
    <w:p>
      <w:pPr>
        <w:numPr>
          <w:ilvl w:val="0"/>
          <w:numId w:val="9"/>
        </w:numPr>
        <w:ind w:left="0" w:firstLine="420"/>
        <w:jc w:val="left"/>
        <w:spacing w:line="312" w:lineRule="auto"/>
        <w:tabs>
          <w:tab w:val="left" w:pos="1134" w:leader="none"/>
        </w:tabs>
        <w:rPr>
          <w:rFonts w:hint="eastAsia" w:ascii="宋体" w:hAnsi="宋体" w:eastAsia="宋体" w:cs="宋体"/>
          <w:b/>
          <w:bCs/>
          <w:color w:val="auto"/>
          <w:sz w:val="21"/>
          <w:szCs w:val="21"/>
          <w:highlight w:val="none"/>
        </w:rPr>
      </w:pPr>
      <w:r>
        <w:rPr>
          <w:rFonts w:hint="eastAsia" w:ascii="宋体" w:hAnsi="宋体" w:eastAsia="宋体" w:cs="宋体"/>
          <w:bCs/>
          <w:color w:val="auto"/>
          <w:sz w:val="21"/>
          <w:szCs w:val="21"/>
          <w:highlight w:val="none"/>
        </w:rPr>
        <w:t xml:space="preserve">供应商为响应评标办法4.2款所投入的养护工区，为此发生的相关费用计入采购清单各工程细目的单价或总价中，采购人不再另行计量与支付。</w:t>
      </w:r>
      <w:r/>
    </w:p>
    <w:p>
      <w:pPr>
        <w:numPr>
          <w:ilvl w:val="0"/>
          <w:numId w:val="9"/>
        </w:numPr>
        <w:ind w:left="0" w:firstLine="420"/>
        <w:jc w:val="left"/>
        <w:spacing w:line="312" w:lineRule="auto"/>
        <w:tabs>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应按照《中华人民共和国大气污染防治法》《江苏省大气污染防治条例》以及南京市污染防治等现行文件的规定执行，扬尘污染防治实施方案中应当包含施工围挡的设置、临时道路及“三场”的硬化、裸露土方及易扬尘物料的覆盖、洒水、清扫、保洁等降尘控尘措施的内容。此发生的相关费用计入采购清单各工程细目的单价或总价中，采购人不再另行计量与支付。</w:t>
      </w:r>
      <w:r/>
    </w:p>
    <w:p>
      <w:pPr>
        <w:numPr>
          <w:ilvl w:val="0"/>
          <w:numId w:val="9"/>
        </w:numPr>
        <w:ind w:left="0" w:firstLine="422"/>
        <w:jc w:val="left"/>
        <w:spacing w:line="312" w:lineRule="auto"/>
        <w:tabs>
          <w:tab w:val="left" w:pos="1134"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中标人未按规定进行养护作业，由于路面抛洒、油污、病害等原因造成任何交通、生产事故以及与其他第三方发生的任何纠纷或事故，任何责任和费用均由中标人自行承担。此发生的相关费用计入采购清单各工程细目的单价或总价中，采购人不再另行计量与支付。</w:t>
      </w:r>
      <w:r/>
    </w:p>
    <w:p>
      <w:pPr>
        <w:numPr>
          <w:ilvl w:val="0"/>
          <w:numId w:val="9"/>
        </w:numPr>
        <w:ind w:left="0" w:firstLine="420"/>
        <w:jc w:val="left"/>
        <w:spacing w:line="312" w:lineRule="auto"/>
        <w:tabs>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下属的检测机构如果已取得由交通主管部门核发的《公路水运工程试验检测机构等级证书》应当在开工前建立与项目检测要求相适应的工地试验室，且工地试验室应当取得“公路水运工程工地试验室备案通知书”。中标人下属的检测机构如果未取得由交通主管部门核发的《公路水运工程试验检测机构等级证书》，工地现场试验检测工作应当委托给取得《公路水运工程试验检测机构等级证书》和《计量认证证书》的其它检测机构。合同实施过程中，对于涉及到的各结构层及路面面层等应进行至少一次配合比试验。</w:t>
      </w:r>
      <w:r/>
    </w:p>
    <w:p>
      <w:pPr>
        <w:numPr>
          <w:ilvl w:val="0"/>
          <w:numId w:val="9"/>
        </w:numPr>
        <w:ind w:left="0" w:firstLine="420"/>
        <w:jc w:val="left"/>
        <w:spacing w:line="312" w:lineRule="auto"/>
        <w:tabs>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双方约定供应商应做的其他工作。</w:t>
      </w:r>
      <w:r/>
    </w:p>
    <w:p>
      <w:pPr>
        <w:jc w:val="left"/>
        <w:spacing w:line="312" w:lineRule="auto"/>
        <w:tabs>
          <w:tab w:val="left" w:pos="567" w:leader="none"/>
        </w:tabs>
        <w:rPr>
          <w:rFonts w:hint="eastAsia" w:ascii="宋体" w:hAnsi="宋体" w:eastAsia="宋体" w:cs="宋体"/>
          <w:color w:val="auto"/>
          <w:sz w:val="21"/>
          <w:szCs w:val="21"/>
          <w:highlight w:val="none"/>
        </w:rPr>
        <w:outlineLvl w:val="7"/>
      </w:pPr>
      <w:r>
        <w:rPr>
          <w:rFonts w:hint="eastAsia" w:ascii="宋体" w:hAnsi="宋体" w:eastAsia="宋体" w:cs="宋体"/>
          <w:bCs/>
          <w:color w:val="auto"/>
          <w:sz w:val="21"/>
          <w:szCs w:val="21"/>
          <w:highlight w:val="none"/>
        </w:rPr>
        <w:t xml:space="preserve">★</w:t>
      </w:r>
      <w:r>
        <w:rPr>
          <w:rFonts w:hint="eastAsia" w:ascii="宋体" w:hAnsi="宋体" w:eastAsia="宋体" w:cs="宋体"/>
          <w:b/>
          <w:bCs/>
          <w:color w:val="auto"/>
          <w:sz w:val="21"/>
          <w:szCs w:val="21"/>
          <w:highlight w:val="none"/>
        </w:rPr>
        <w:t xml:space="preserve">转让和分包</w:t>
      </w:r>
      <w:r/>
    </w:p>
    <w:p>
      <w:pPr>
        <w:numPr>
          <w:ilvl w:val="0"/>
          <w:numId w:val="10"/>
        </w:numPr>
        <w:ind w:left="0" w:firstLine="420"/>
        <w:spacing w:line="312" w:lineRule="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供应商承诺按照法律规定及合同约定组织完成日常养护、小修及应急处置工作，确保服务质量和安全，并在缺陷责任期内承担相应的工程维修责任。本项目严禁转包、分包（</w:t>
      </w:r>
      <w:r>
        <w:rPr>
          <w:rFonts w:hint="eastAsia" w:ascii="宋体" w:hAnsi="宋体" w:eastAsia="宋体" w:cs="宋体"/>
          <w:b/>
          <w:bCs/>
          <w:color w:val="auto"/>
          <w:sz w:val="21"/>
          <w:szCs w:val="21"/>
          <w:highlight w:val="none"/>
        </w:rPr>
        <w:t xml:space="preserve">劳务分包除外，下同</w:t>
      </w:r>
      <w:r>
        <w:rPr>
          <w:rFonts w:hint="eastAsia" w:ascii="宋体" w:hAnsi="宋体" w:eastAsia="宋体" w:cs="宋体"/>
          <w:color w:val="auto"/>
          <w:sz w:val="21"/>
          <w:szCs w:val="21"/>
          <w:highlight w:val="none"/>
        </w:rPr>
        <w:t xml:space="preserve">），一经发现，视其情节严重程度严肃处理，直至清退出场解除合同。</w:t>
      </w:r>
      <w:r/>
    </w:p>
    <w:p>
      <w:pPr>
        <w:numPr>
          <w:ilvl w:val="0"/>
          <w:numId w:val="10"/>
        </w:numPr>
        <w:ind w:left="0" w:firstLine="42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转包、分包违约责任。供应商不得将本项目进行转包或分包。经核查，发现供应</w:t>
      </w:r>
      <w:r>
        <w:rPr>
          <w:rFonts w:hint="eastAsia" w:ascii="宋体" w:hAnsi="宋体" w:eastAsia="宋体" w:cs="宋体"/>
          <w:color w:val="auto"/>
          <w:sz w:val="21"/>
          <w:szCs w:val="21"/>
          <w:highlight w:val="none"/>
        </w:rPr>
        <w:t xml:space="preserve">商存在法律法规规定的转包、分包情形的，采购人应书面告知供应商。供应商应在接到书面告知后7日内，向采购人提供相关证明材料。供应商未能在规定时间内举证或其证明材料不足以排除供应商存在转包、分包行为的，视同供应商存在违约责任，供应商应向采购人支付不低于合同金额2%的违约金（采购人可根据项目具体规模适当调整违约金比例），并视情况制止分包行为。供应商存在转包、分包行为，被行政监管部门查处并依法作出行政处罚的，不影响合同违约责任履行，供应商仍须按合同约定向采购人支付违约金。供应商将项目转包或分包的，采购人有权终止合同。</w:t>
      </w:r>
      <w:r/>
    </w:p>
    <w:p>
      <w:pPr>
        <w:jc w:val="left"/>
        <w:spacing w:line="312" w:lineRule="auto"/>
        <w:tabs>
          <w:tab w:val="left" w:pos="567" w:leader="none"/>
        </w:tabs>
        <w:rPr>
          <w:rFonts w:hint="eastAsia" w:ascii="宋体" w:hAnsi="宋体" w:eastAsia="宋体" w:cs="宋体"/>
          <w:color w:val="auto"/>
          <w:sz w:val="21"/>
          <w:szCs w:val="21"/>
          <w:highlight w:val="none"/>
        </w:rPr>
        <w:outlineLvl w:val="7"/>
      </w:pPr>
      <w:r>
        <w:rPr>
          <w:rFonts w:hint="eastAsia" w:ascii="宋体" w:hAnsi="宋体" w:eastAsia="宋体" w:cs="宋体"/>
          <w:bCs/>
          <w:color w:val="auto"/>
          <w:sz w:val="21"/>
          <w:szCs w:val="21"/>
          <w:highlight w:val="none"/>
        </w:rPr>
        <w:t xml:space="preserve">★</w:t>
      </w:r>
      <w:r>
        <w:rPr>
          <w:rFonts w:hint="eastAsia" w:ascii="宋体" w:hAnsi="宋体" w:eastAsia="宋体" w:cs="宋体"/>
          <w:b/>
          <w:bCs/>
          <w:color w:val="auto"/>
          <w:sz w:val="21"/>
          <w:szCs w:val="21"/>
          <w:highlight w:val="none"/>
        </w:rPr>
        <w:t xml:space="preserve">书面通知</w:t>
      </w:r>
      <w:r/>
    </w:p>
    <w:p>
      <w:pPr>
        <w:ind w:firstLine="42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凡根据合同规定，由采购人、供应商发出的或送达的任何通知、指示、建议、意见、决定及申请等均应是书面的，并应作出相应解释，任何这类书面通知都不应被无故扣发或贻误。</w:t>
      </w:r>
      <w:r/>
    </w:p>
    <w:p>
      <w:pPr>
        <w:jc w:val="left"/>
        <w:spacing w:line="312" w:lineRule="auto"/>
        <w:tabs>
          <w:tab w:val="left" w:pos="567" w:leader="none"/>
        </w:tabs>
        <w:rPr>
          <w:rFonts w:hint="eastAsia" w:ascii="宋体" w:hAnsi="宋体" w:eastAsia="宋体" w:cs="宋体"/>
          <w:color w:val="auto"/>
          <w:sz w:val="21"/>
          <w:szCs w:val="21"/>
          <w:highlight w:val="none"/>
        </w:rPr>
        <w:outlineLvl w:val="7"/>
      </w:pPr>
      <w:r>
        <w:rPr>
          <w:rFonts w:hint="eastAsia" w:ascii="宋体" w:hAnsi="宋体" w:eastAsia="宋体" w:cs="宋体"/>
          <w:bCs/>
          <w:color w:val="auto"/>
          <w:sz w:val="21"/>
          <w:szCs w:val="21"/>
          <w:highlight w:val="none"/>
        </w:rPr>
        <w:t xml:space="preserve">★</w:t>
      </w:r>
      <w:r>
        <w:rPr>
          <w:rFonts w:hint="eastAsia" w:ascii="宋体" w:hAnsi="宋体" w:eastAsia="宋体" w:cs="宋体"/>
          <w:b/>
          <w:bCs/>
          <w:color w:val="auto"/>
          <w:sz w:val="21"/>
          <w:szCs w:val="21"/>
          <w:highlight w:val="none"/>
        </w:rPr>
        <w:t xml:space="preserve">临时工程和临时设施</w:t>
      </w:r>
      <w:r/>
    </w:p>
    <w:p>
      <w:pPr>
        <w:ind w:firstLine="42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除另有规定外，为完成本合同项目所需的临时工程及设施，均应由供应商按照承包工程的实际情况自行负责设计、备料和建设，采购人不另行支付。</w:t>
      </w:r>
      <w:r/>
    </w:p>
    <w:p>
      <w:pPr>
        <w:jc w:val="left"/>
        <w:spacing w:line="312" w:lineRule="auto"/>
        <w:tabs>
          <w:tab w:val="left" w:pos="567" w:leader="none"/>
        </w:tabs>
        <w:rPr>
          <w:rFonts w:hint="eastAsia" w:ascii="宋体" w:hAnsi="宋体" w:eastAsia="宋体" w:cs="宋体"/>
          <w:color w:val="auto"/>
          <w:sz w:val="21"/>
          <w:szCs w:val="21"/>
          <w:highlight w:val="none"/>
        </w:rPr>
        <w:outlineLvl w:val="7"/>
      </w:pPr>
      <w:r>
        <w:rPr>
          <w:rFonts w:hint="eastAsia" w:ascii="宋体" w:hAnsi="宋体" w:eastAsia="宋体" w:cs="宋体"/>
          <w:bCs/>
          <w:color w:val="auto"/>
          <w:sz w:val="21"/>
          <w:szCs w:val="21"/>
          <w:highlight w:val="none"/>
        </w:rPr>
        <w:t xml:space="preserve">★</w:t>
      </w:r>
      <w:r>
        <w:rPr>
          <w:rFonts w:hint="eastAsia" w:ascii="宋体" w:hAnsi="宋体" w:eastAsia="宋体" w:cs="宋体"/>
          <w:b/>
          <w:bCs/>
          <w:color w:val="auto"/>
          <w:sz w:val="21"/>
          <w:szCs w:val="21"/>
          <w:highlight w:val="none"/>
        </w:rPr>
        <w:t xml:space="preserve">施工和管理</w:t>
      </w:r>
      <w:r/>
    </w:p>
    <w:p>
      <w:pPr>
        <w:numPr>
          <w:ilvl w:val="0"/>
          <w:numId w:val="11"/>
        </w:numPr>
        <w:ind w:left="0" w:firstLine="42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供应商的施工机械和车辆应服从当地有关部门的管理，并按照有关要求安全行驶，服从检验和缴纳各种相应费用等。供应商缴纳的各项规费，运输超大、超重引起的附加费用均由供应商负担。</w:t>
      </w:r>
      <w:r/>
    </w:p>
    <w:p>
      <w:pPr>
        <w:numPr>
          <w:ilvl w:val="0"/>
          <w:numId w:val="11"/>
        </w:numPr>
        <w:ind w:left="0" w:firstLine="42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应对所使用的由采购人提供的或借用、占用、利用当地的所有出入现场的临时道路和桥梁进行养护和维修，直到工程交工，并恢复原貌，其费用包含在投标报价中，不另行计量与支付。并应保证采购人免于承担因上述临时道路的使用所引起的补偿费、诉讼费、损害赔偿、指控费及其它开支。</w:t>
      </w:r>
      <w:r/>
    </w:p>
    <w:p>
      <w:pPr>
        <w:jc w:val="left"/>
        <w:spacing w:line="312" w:lineRule="auto"/>
        <w:tabs>
          <w:tab w:val="left" w:pos="567" w:leader="none"/>
        </w:tabs>
        <w:rPr>
          <w:rFonts w:hint="eastAsia" w:ascii="宋体" w:hAnsi="宋体" w:eastAsia="宋体" w:cs="宋体"/>
          <w:color w:val="auto"/>
          <w:sz w:val="21"/>
          <w:szCs w:val="21"/>
          <w:highlight w:val="none"/>
        </w:rPr>
        <w:outlineLvl w:val="7"/>
      </w:pPr>
      <w:r>
        <w:rPr>
          <w:rFonts w:hint="eastAsia" w:ascii="宋体" w:hAnsi="宋体" w:eastAsia="宋体" w:cs="宋体"/>
          <w:bCs/>
          <w:color w:val="auto"/>
          <w:sz w:val="21"/>
          <w:szCs w:val="21"/>
          <w:highlight w:val="none"/>
        </w:rPr>
        <w:t xml:space="preserve">★</w:t>
      </w:r>
      <w:r>
        <w:rPr>
          <w:rFonts w:hint="eastAsia" w:ascii="宋体" w:hAnsi="宋体" w:eastAsia="宋体" w:cs="宋体"/>
          <w:b/>
          <w:bCs/>
          <w:color w:val="auto"/>
          <w:sz w:val="21"/>
          <w:szCs w:val="21"/>
          <w:highlight w:val="none"/>
        </w:rPr>
        <w:t xml:space="preserve">服务进度控制</w:t>
      </w:r>
      <w:r/>
    </w:p>
    <w:p>
      <w:pPr>
        <w:numPr>
          <w:ilvl w:val="0"/>
          <w:numId w:val="12"/>
        </w:numPr>
        <w:ind w:left="0" w:firstLine="42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供应商应按本合同规定的服务期，合理安排好养护进度计划，并及时向采购人递交各养护项目的月度进度表。</w:t>
      </w:r>
      <w:r/>
    </w:p>
    <w:p>
      <w:pPr>
        <w:numPr>
          <w:ilvl w:val="0"/>
          <w:numId w:val="12"/>
        </w:numPr>
        <w:ind w:left="0" w:firstLine="42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为保证服务质量，并按时实现养护、维修进度的要求，采购人有权审核并评议供应商递交的计划。这些审核和评议，不能免除供应商根据合同规定所担负的任何责任和义务。</w:t>
      </w:r>
      <w:r/>
    </w:p>
    <w:p>
      <w:pPr>
        <w:numPr>
          <w:ilvl w:val="0"/>
          <w:numId w:val="12"/>
        </w:numPr>
        <w:ind w:left="0" w:firstLine="42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价类项目必须在采购人规定的期限完成养护维修，经初步验收达到合同规定的质量标准后，进入供应商的缺陷责任期。如果供应商的某个小修保养工作质量达不到采购人要求，采购人有权委托其他单位完成，对此发生的所有费用由供应商承担。</w:t>
      </w:r>
      <w:r/>
    </w:p>
    <w:p>
      <w:pPr>
        <w:jc w:val="left"/>
        <w:spacing w:line="312" w:lineRule="auto"/>
        <w:tabs>
          <w:tab w:val="left" w:pos="567" w:leader="none"/>
        </w:tabs>
        <w:rPr>
          <w:rFonts w:hint="eastAsia" w:ascii="宋体" w:hAnsi="宋体" w:eastAsia="宋体" w:cs="宋体"/>
          <w:color w:val="auto"/>
          <w:sz w:val="21"/>
          <w:szCs w:val="21"/>
          <w:highlight w:val="none"/>
        </w:rPr>
        <w:outlineLvl w:val="7"/>
      </w:pPr>
      <w:r>
        <w:rPr>
          <w:rFonts w:hint="eastAsia" w:ascii="宋体" w:hAnsi="宋体" w:eastAsia="宋体" w:cs="宋体"/>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清单</w:t>
      </w:r>
      <w:r>
        <w:rPr>
          <w:rFonts w:hint="eastAsia" w:ascii="宋体" w:hAnsi="宋体" w:eastAsia="宋体" w:cs="宋体"/>
          <w:b/>
          <w:bCs/>
          <w:color w:val="auto"/>
          <w:sz w:val="21"/>
          <w:szCs w:val="21"/>
          <w:highlight w:val="none"/>
        </w:rPr>
        <w:t xml:space="preserve">数量</w:t>
      </w:r>
      <w:r/>
    </w:p>
    <w:p>
      <w:pPr>
        <w:ind w:firstLine="42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本项目具体</w:t>
      </w:r>
      <w:r>
        <w:rPr>
          <w:rFonts w:hint="eastAsia" w:ascii="宋体" w:hAnsi="宋体" w:eastAsia="宋体" w:cs="宋体"/>
          <w:color w:val="auto"/>
          <w:sz w:val="21"/>
          <w:szCs w:val="21"/>
          <w:highlight w:val="none"/>
          <w:lang w:val="en-US" w:eastAsia="zh-CN"/>
        </w:rPr>
        <w:t xml:space="preserve">清单</w:t>
      </w:r>
      <w:r>
        <w:rPr>
          <w:rFonts w:hint="eastAsia" w:ascii="宋体" w:hAnsi="宋体" w:eastAsia="宋体" w:cs="宋体"/>
          <w:color w:val="auto"/>
          <w:sz w:val="21"/>
          <w:szCs w:val="21"/>
          <w:highlight w:val="none"/>
        </w:rPr>
        <w:t xml:space="preserve">数量见采购清单。其中路面</w:t>
      </w:r>
      <w:r>
        <w:rPr>
          <w:rFonts w:hint="eastAsia" w:ascii="宋体" w:hAnsi="宋体" w:eastAsia="宋体" w:cs="宋体"/>
          <w:color w:val="auto"/>
          <w:sz w:val="21"/>
          <w:szCs w:val="21"/>
          <w:highlight w:val="none"/>
          <w:lang w:val="en-US" w:eastAsia="zh-CN"/>
        </w:rPr>
        <w:t xml:space="preserve">工作</w:t>
      </w:r>
      <w:r>
        <w:rPr>
          <w:rFonts w:hint="eastAsia" w:ascii="宋体" w:hAnsi="宋体" w:eastAsia="宋体" w:cs="宋体"/>
          <w:color w:val="auto"/>
          <w:sz w:val="21"/>
          <w:szCs w:val="21"/>
          <w:highlight w:val="none"/>
        </w:rPr>
        <w:t xml:space="preserve">数量是根据工程现场情况估算的</w:t>
      </w:r>
      <w:r>
        <w:rPr>
          <w:rFonts w:hint="eastAsia" w:ascii="宋体" w:hAnsi="宋体" w:eastAsia="宋体" w:cs="宋体"/>
          <w:color w:val="auto"/>
          <w:sz w:val="21"/>
          <w:szCs w:val="21"/>
          <w:highlight w:val="none"/>
          <w:lang w:val="en-US" w:eastAsia="zh-CN"/>
        </w:rPr>
        <w:t xml:space="preserve">工作</w:t>
      </w:r>
      <w:r>
        <w:rPr>
          <w:rFonts w:hint="eastAsia" w:ascii="宋体" w:hAnsi="宋体" w:eastAsia="宋体" w:cs="宋体"/>
          <w:color w:val="auto"/>
          <w:sz w:val="21"/>
          <w:szCs w:val="21"/>
          <w:highlight w:val="none"/>
        </w:rPr>
        <w:t xml:space="preserve">量，它们不能作为投标人在履行合同义务过程中应予完成工程的实际和准确的</w:t>
      </w:r>
      <w:r>
        <w:rPr>
          <w:rFonts w:hint="eastAsia" w:ascii="宋体" w:hAnsi="宋体" w:eastAsia="宋体" w:cs="宋体"/>
          <w:color w:val="auto"/>
          <w:sz w:val="21"/>
          <w:szCs w:val="21"/>
          <w:highlight w:val="none"/>
          <w:lang w:val="en-US" w:eastAsia="zh-CN"/>
        </w:rPr>
        <w:t xml:space="preserve">工作</w:t>
      </w:r>
      <w:r>
        <w:rPr>
          <w:rFonts w:hint="eastAsia" w:ascii="宋体" w:hAnsi="宋体" w:eastAsia="宋体" w:cs="宋体"/>
          <w:color w:val="auto"/>
          <w:sz w:val="21"/>
          <w:szCs w:val="21"/>
          <w:highlight w:val="none"/>
        </w:rPr>
        <w:t xml:space="preserve">量。除另有规定外，本合同以按采购人及供应商两方签认的完成的</w:t>
      </w:r>
      <w:r>
        <w:rPr>
          <w:rFonts w:hint="eastAsia" w:ascii="宋体" w:hAnsi="宋体" w:eastAsia="宋体" w:cs="宋体"/>
          <w:color w:val="auto"/>
          <w:sz w:val="21"/>
          <w:szCs w:val="21"/>
          <w:highlight w:val="none"/>
          <w:lang w:val="en-US" w:eastAsia="zh-CN"/>
        </w:rPr>
        <w:t xml:space="preserve">工作</w:t>
      </w:r>
      <w:r>
        <w:rPr>
          <w:rFonts w:hint="eastAsia" w:ascii="宋体" w:hAnsi="宋体" w:eastAsia="宋体" w:cs="宋体"/>
          <w:color w:val="auto"/>
          <w:sz w:val="21"/>
          <w:szCs w:val="21"/>
          <w:highlight w:val="none"/>
        </w:rPr>
        <w:t xml:space="preserve">数量并达到合同规定的质量标准的数量作为最终支付结算的</w:t>
      </w:r>
      <w:r>
        <w:rPr>
          <w:rFonts w:hint="eastAsia" w:ascii="宋体" w:hAnsi="宋体" w:eastAsia="宋体" w:cs="宋体"/>
          <w:color w:val="auto"/>
          <w:sz w:val="21"/>
          <w:szCs w:val="21"/>
          <w:highlight w:val="none"/>
          <w:lang w:val="en-US" w:eastAsia="zh-CN"/>
        </w:rPr>
        <w:t xml:space="preserve">工作</w:t>
      </w:r>
      <w:r>
        <w:rPr>
          <w:rFonts w:hint="eastAsia" w:ascii="宋体" w:hAnsi="宋体" w:eastAsia="宋体" w:cs="宋体"/>
          <w:color w:val="auto"/>
          <w:sz w:val="21"/>
          <w:szCs w:val="21"/>
          <w:highlight w:val="none"/>
        </w:rPr>
        <w:t xml:space="preserve">数量。</w:t>
      </w:r>
      <w:r/>
    </w:p>
    <w:p>
      <w:pPr>
        <w:jc w:val="left"/>
        <w:spacing w:line="312" w:lineRule="auto"/>
        <w:tabs>
          <w:tab w:val="left" w:pos="567" w:leader="none"/>
        </w:tabs>
        <w:rPr>
          <w:rFonts w:hint="eastAsia" w:ascii="宋体" w:hAnsi="宋体" w:eastAsia="宋体" w:cs="宋体"/>
          <w:color w:val="auto"/>
          <w:sz w:val="21"/>
          <w:szCs w:val="21"/>
          <w:highlight w:val="none"/>
        </w:rPr>
        <w:outlineLvl w:val="7"/>
      </w:pPr>
      <w:r>
        <w:rPr>
          <w:rFonts w:hint="eastAsia" w:ascii="宋体" w:hAnsi="宋体" w:eastAsia="宋体" w:cs="宋体"/>
          <w:bCs/>
          <w:color w:val="auto"/>
          <w:sz w:val="21"/>
          <w:szCs w:val="21"/>
          <w:highlight w:val="none"/>
        </w:rPr>
        <w:t xml:space="preserve">★</w:t>
      </w:r>
      <w:r>
        <w:rPr>
          <w:rFonts w:hint="eastAsia" w:ascii="宋体" w:hAnsi="宋体" w:eastAsia="宋体" w:cs="宋体"/>
          <w:b/>
          <w:bCs/>
          <w:color w:val="auto"/>
          <w:sz w:val="21"/>
          <w:szCs w:val="21"/>
          <w:highlight w:val="none"/>
        </w:rPr>
        <w:t xml:space="preserve">合同金额、形式及结算方式</w:t>
      </w:r>
      <w:r/>
    </w:p>
    <w:p>
      <w:pPr>
        <w:numPr>
          <w:ilvl w:val="0"/>
          <w:numId w:val="13"/>
        </w:numPr>
        <w:ind w:left="0" w:firstLine="420"/>
        <w:jc w:val="left"/>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合同金额、形式</w:t>
      </w:r>
      <w:r/>
    </w:p>
    <w:p>
      <w:pPr>
        <w:numPr>
          <w:ilvl w:val="0"/>
          <w:numId w:val="14"/>
        </w:numPr>
        <w:ind w:left="0" w:firstLine="420"/>
        <w:jc w:val="left"/>
        <w:spacing w:line="312" w:lineRule="auto"/>
        <w:tabs>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价类项目采用固定单价承包、按实结算的方式，最终合同价格按采购人与供应商两方签认完成的工程数量及本合同采购清单单价确定。在合同实施期间，单价类项目的综合单价不予调整。供应商对采购人的决定必须无条件接受，否则，采购人有权终止合同。在合同实施期间，如发生单价类清单以外的小修项目，应重新核定单价，核价原则为：在《公路桥梁养护工程预算定额》JTG/T 5612-2020测算预算单价（材料价格按投标当月材料指导价）的基础上，按照供应商中标单价类项目总价与单价类最高投标限价的下浮率，同比例调整。</w:t>
      </w:r>
      <w:r/>
    </w:p>
    <w:p>
      <w:pPr>
        <w:numPr>
          <w:ilvl w:val="0"/>
          <w:numId w:val="14"/>
        </w:numPr>
        <w:ind w:left="0" w:firstLine="420"/>
        <w:jc w:val="left"/>
        <w:spacing w:line="312" w:lineRule="auto"/>
        <w:tabs>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基价类项目采用“总量包干、总价承包、缺陷扣减、定期考核”的方式，按季度并结合考核情况等比例计量。具体考评办法采购人将另行制定。</w:t>
      </w:r>
      <w:r/>
    </w:p>
    <w:p>
      <w:pPr>
        <w:numPr>
          <w:ilvl w:val="0"/>
          <w:numId w:val="14"/>
        </w:numPr>
        <w:ind w:left="0" w:firstLine="420"/>
        <w:jc w:val="left"/>
        <w:spacing w:line="312" w:lineRule="auto"/>
        <w:tabs>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采购人在签订合同协议书前有权对投标报价中出现的不平衡报价（单价类项目综合单价）要求中标人进行澄清、调整，但不变更总报价，如中标人拒绝调整，则视为拒绝中标，但投标保证金不予以退还。</w:t>
      </w:r>
      <w:r/>
    </w:p>
    <w:p>
      <w:pPr>
        <w:numPr>
          <w:ilvl w:val="0"/>
          <w:numId w:val="13"/>
        </w:numPr>
        <w:ind w:left="0" w:firstLine="420"/>
        <w:jc w:val="left"/>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合同结算方式：</w:t>
      </w:r>
      <w:r/>
    </w:p>
    <w:p>
      <w:pPr>
        <w:numPr>
          <w:ilvl w:val="0"/>
          <w:numId w:val="15"/>
        </w:numPr>
        <w:ind w:left="0" w:firstLine="420"/>
        <w:jc w:val="left"/>
        <w:spacing w:line="312" w:lineRule="auto"/>
        <w:tabs>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预付款：合同签订后14个工作日内；预付款支付比例：合同金额的10%。预付款在前两次支付中等额扣回。</w:t>
      </w:r>
      <w:r/>
    </w:p>
    <w:p>
      <w:pPr>
        <w:numPr>
          <w:ilvl w:val="0"/>
          <w:numId w:val="15"/>
        </w:numPr>
        <w:ind w:left="0" w:firstLine="420"/>
        <w:jc w:val="left"/>
        <w:spacing w:line="312" w:lineRule="auto"/>
        <w:tabs>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月计量，每三个月进行支付一次，最后按实际月份进行支付，每次支付金额为当期计量款的90%。</w:t>
      </w:r>
      <w:r/>
    </w:p>
    <w:p>
      <w:pPr>
        <w:numPr>
          <w:ilvl w:val="0"/>
          <w:numId w:val="15"/>
        </w:numPr>
        <w:ind w:left="0" w:firstLine="420"/>
        <w:jc w:val="left"/>
        <w:spacing w:line="312" w:lineRule="auto"/>
        <w:tabs>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业主结算审核完成后付至结算价的95%。</w:t>
      </w:r>
      <w:r/>
    </w:p>
    <w:p>
      <w:pPr>
        <w:numPr>
          <w:ilvl w:val="0"/>
          <w:numId w:val="15"/>
        </w:numPr>
        <w:ind w:left="0" w:firstLine="420"/>
        <w:jc w:val="left"/>
        <w:spacing w:line="312" w:lineRule="auto"/>
        <w:tabs>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余款在缺陷责任期满后付清。</w:t>
      </w:r>
      <w:r/>
    </w:p>
    <w:p>
      <w:pPr>
        <w:numPr>
          <w:ilvl w:val="0"/>
          <w:numId w:val="15"/>
        </w:numPr>
        <w:ind w:left="0" w:firstLine="420"/>
        <w:jc w:val="left"/>
        <w:spacing w:line="312" w:lineRule="auto"/>
        <w:tabs>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以上合同价款视采购人上级财政部门落实情况进行支付。</w:t>
      </w:r>
      <w:r/>
    </w:p>
    <w:p>
      <w:pPr>
        <w:numPr>
          <w:ilvl w:val="0"/>
          <w:numId w:val="15"/>
        </w:numPr>
        <w:ind w:left="0" w:firstLine="420"/>
        <w:jc w:val="left"/>
        <w:spacing w:line="312" w:lineRule="auto"/>
        <w:tabs>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日常养护工作范围以外，因交通事故造成的路面污染或积雪清扫等突发事件，应采购人要求需要供应商及时派遣临时人工及车辆提供应急服务，这种突击任务发生的人工按政策文件结算、机械台班按养护定额的工程机械台班费用定额结算。</w:t>
      </w:r>
      <w:r/>
    </w:p>
    <w:p>
      <w:pPr>
        <w:numPr>
          <w:ilvl w:val="0"/>
          <w:numId w:val="15"/>
        </w:numPr>
        <w:ind w:left="0" w:firstLine="420"/>
        <w:jc w:val="left"/>
        <w:spacing w:line="312" w:lineRule="auto"/>
        <w:tabs>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每季度实际支付的款项＝经验收确定的项目费用+经采购人批准使用的暂列金额-按合同约定由采购人作出的处罚金。</w:t>
      </w:r>
      <w:r/>
    </w:p>
    <w:p>
      <w:pPr>
        <w:jc w:val="left"/>
        <w:spacing w:line="312" w:lineRule="auto"/>
        <w:tabs>
          <w:tab w:val="left" w:pos="567" w:leader="none"/>
        </w:tabs>
        <w:rPr>
          <w:rFonts w:hint="eastAsia" w:ascii="宋体" w:hAnsi="宋体" w:eastAsia="宋体" w:cs="宋体"/>
          <w:color w:val="auto"/>
          <w:sz w:val="21"/>
          <w:szCs w:val="21"/>
          <w:highlight w:val="none"/>
        </w:rPr>
        <w:outlineLvl w:val="7"/>
      </w:pPr>
      <w:r>
        <w:rPr>
          <w:rFonts w:hint="eastAsia" w:ascii="宋体" w:hAnsi="宋体" w:eastAsia="宋体" w:cs="宋体"/>
          <w:bCs/>
          <w:color w:val="auto"/>
          <w:sz w:val="21"/>
          <w:szCs w:val="21"/>
          <w:highlight w:val="none"/>
        </w:rPr>
        <w:t xml:space="preserve">★</w:t>
      </w:r>
      <w:r>
        <w:rPr>
          <w:rFonts w:hint="eastAsia" w:ascii="宋体" w:hAnsi="宋体" w:eastAsia="宋体" w:cs="宋体"/>
          <w:b/>
          <w:bCs/>
          <w:color w:val="auto"/>
          <w:sz w:val="21"/>
          <w:szCs w:val="21"/>
          <w:highlight w:val="none"/>
        </w:rPr>
        <w:t xml:space="preserve">不合格的材料和工艺</w:t>
      </w:r>
      <w:r/>
    </w:p>
    <w:p>
      <w:pPr>
        <w:ind w:firstLine="42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在本项目中不得使用不符合设计（包括技术规范）要求或不合格的材料和不能保证服务（工程）质量的工艺。采购人一旦发现上述情况，并出具通知，供应商应按照采购人的指令立即更换、更改，对由此造成的损失应由供应商自行负责。</w:t>
      </w:r>
      <w:r/>
    </w:p>
    <w:p>
      <w:pPr>
        <w:jc w:val="left"/>
        <w:spacing w:line="312" w:lineRule="auto"/>
        <w:tabs>
          <w:tab w:val="left" w:pos="567" w:leader="none"/>
        </w:tabs>
        <w:rPr>
          <w:rFonts w:hint="eastAsia" w:ascii="宋体" w:hAnsi="宋体" w:eastAsia="宋体" w:cs="宋体"/>
          <w:color w:val="auto"/>
          <w:sz w:val="21"/>
          <w:szCs w:val="21"/>
          <w:highlight w:val="none"/>
        </w:rPr>
        <w:outlineLvl w:val="7"/>
      </w:pPr>
      <w:r>
        <w:rPr>
          <w:rFonts w:hint="eastAsia" w:ascii="宋体" w:hAnsi="宋体" w:eastAsia="宋体" w:cs="宋体"/>
          <w:bCs/>
          <w:color w:val="auto"/>
          <w:sz w:val="21"/>
          <w:szCs w:val="21"/>
          <w:highlight w:val="none"/>
        </w:rPr>
        <w:t xml:space="preserve">★</w:t>
      </w:r>
      <w:r>
        <w:rPr>
          <w:rFonts w:hint="eastAsia" w:ascii="宋体" w:hAnsi="宋体" w:eastAsia="宋体" w:cs="宋体"/>
          <w:b/>
          <w:bCs/>
          <w:color w:val="auto"/>
          <w:sz w:val="21"/>
          <w:szCs w:val="21"/>
          <w:highlight w:val="none"/>
        </w:rPr>
        <w:t xml:space="preserve">防护</w:t>
      </w:r>
      <w:r/>
    </w:p>
    <w:p>
      <w:pPr>
        <w:numPr>
          <w:ilvl w:val="0"/>
          <w:numId w:val="16"/>
        </w:numPr>
        <w:ind w:left="0" w:firstLine="420"/>
        <w:jc w:val="left"/>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合同实施过程中，为了保证本项目的安全施工，供应商应对各项养护和维修工作采取必要的防护和安全措施，并承担所需的费用。</w:t>
      </w:r>
      <w:r/>
    </w:p>
    <w:p>
      <w:pPr>
        <w:numPr>
          <w:ilvl w:val="0"/>
          <w:numId w:val="16"/>
        </w:numPr>
        <w:ind w:left="0" w:firstLine="420"/>
        <w:jc w:val="left"/>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供应商应采取一切合理的措施，以保护现场及其附近环境，并避免由其施工方面引起的污染、噪声或其他后果对公众造成人身或财物方面的伤害或妨碍。</w:t>
      </w:r>
      <w:r/>
    </w:p>
    <w:p>
      <w:pPr>
        <w:numPr>
          <w:ilvl w:val="0"/>
          <w:numId w:val="16"/>
        </w:numPr>
        <w:ind w:left="0" w:firstLine="420"/>
        <w:jc w:val="left"/>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在服务期内，供应商应合理地保持现场不出现不必要的障碍物，存放处置好供应商的任何设备和多余的材料并从现场清除运走任何废料、垃圾或不再需要的临时工程。</w:t>
      </w:r>
      <w:r/>
    </w:p>
    <w:p>
      <w:pPr>
        <w:jc w:val="left"/>
        <w:spacing w:line="312" w:lineRule="auto"/>
        <w:tabs>
          <w:tab w:val="left" w:pos="567" w:leader="none"/>
        </w:tabs>
        <w:rPr>
          <w:rFonts w:hint="eastAsia" w:ascii="宋体" w:hAnsi="宋体" w:eastAsia="宋体" w:cs="宋体"/>
          <w:color w:val="auto"/>
          <w:sz w:val="21"/>
          <w:szCs w:val="21"/>
          <w:highlight w:val="none"/>
        </w:rPr>
        <w:outlineLvl w:val="7"/>
      </w:pPr>
      <w:r>
        <w:rPr>
          <w:rFonts w:hint="eastAsia" w:ascii="宋体" w:hAnsi="宋体" w:eastAsia="宋体" w:cs="宋体"/>
          <w:bCs/>
          <w:color w:val="auto"/>
          <w:sz w:val="21"/>
          <w:szCs w:val="21"/>
          <w:highlight w:val="none"/>
        </w:rPr>
        <w:t xml:space="preserve">★</w:t>
      </w:r>
      <w:r>
        <w:rPr>
          <w:rFonts w:hint="eastAsia" w:ascii="宋体" w:hAnsi="宋体" w:eastAsia="宋体" w:cs="宋体"/>
          <w:b/>
          <w:bCs/>
          <w:color w:val="auto"/>
          <w:sz w:val="21"/>
          <w:szCs w:val="21"/>
          <w:highlight w:val="none"/>
        </w:rPr>
        <w:t xml:space="preserve">安全生产</w:t>
      </w:r>
      <w:r/>
    </w:p>
    <w:p>
      <w:pPr>
        <w:numPr>
          <w:ilvl w:val="0"/>
          <w:numId w:val="17"/>
        </w:numPr>
        <w:ind w:left="0" w:firstLine="420"/>
        <w:jc w:val="left"/>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期间供应商必须严格执行国家、地方政府有关施工安全管理方面的法律、法规及规章制度，同时严格执行采购人制订的本项目安全生产管理方面的规章制度、安全检查程序及施工安全管理要求，以及监理人有关安全工作的指示。</w:t>
      </w:r>
      <w:r/>
    </w:p>
    <w:p>
      <w:pPr>
        <w:ind w:firstLine="42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关于印发《企业安全生产费用提取和使用管理办法》的通知》（财资〔2022〕136号）”的规定，安全生产费用为本项目清单小计的1.5%。投标人在投标报价时不得对该比例进行调整。如投标人须在此基础上增加安全生产费用以满足项目施工需要，则投标人应在本项目采购清单其它相关细目的单价或总额价中予以考虑，招标人不再另行支付。安全生产费用在合同执行过程中不随工程量的</w:t>
      </w:r>
      <w:r>
        <w:rPr>
          <w:rFonts w:hint="eastAsia" w:ascii="宋体" w:hAnsi="宋体" w:eastAsia="宋体" w:cs="宋体"/>
          <w:color w:val="auto"/>
          <w:sz w:val="21"/>
          <w:szCs w:val="21"/>
          <w:highlight w:val="none"/>
        </w:rPr>
        <w:t xml:space="preserve">变化和设计变更而调整。安全生产费应专款专用，按采购人制定的安全生产管理办法进行计量支付。投标人中标后，应制定详细的安全生产实施方案，并按江苏省交通运输厅（苏交建[2012]55号）《江苏省公路工程安全生产采购清单编制说明》以及采购人制定的安全生产管理办法的规定对其投标报价时所报的安全生产费进行详细的安全生产采购清单报价编制。安全生产费应专款专用，在合同实施过程中，采购人将按江苏省交通运输厅《江苏省公路工程安全生产采购清单编制说明》的规定对安全生产费进行计量支付。安全生产费用由施工单位上报，最终经确认后支付。</w:t>
      </w:r>
      <w:r/>
    </w:p>
    <w:p>
      <w:pPr>
        <w:ind w:firstLine="42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果供应商的安全措施达不到要求，采购人有权委托其他单位完成，对此发生的所有费用从供应商的安全生产费中支付。安全生产费用应当用于施工安全防护用具及设施的购买、维护和更新，安全生产措施的落实，安全生产条件的改善，不得挪作他用。</w:t>
      </w:r>
      <w:r/>
    </w:p>
    <w:p>
      <w:pPr>
        <w:numPr>
          <w:ilvl w:val="0"/>
          <w:numId w:val="17"/>
        </w:numPr>
        <w:ind w:left="0" w:firstLine="420"/>
        <w:jc w:val="left"/>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在养护过程中，供应商应高度重视安全生产，严格遵守交通部颁发的《公路养护安全作业规程》（JTG H30-2015）等有关规定，以确保养护作业中人员、施工车辆和机械设备、公路设施的安全。否则，由此造成的损失由供应商承担。</w:t>
      </w:r>
      <w:r/>
    </w:p>
    <w:p>
      <w:pPr>
        <w:numPr>
          <w:ilvl w:val="0"/>
          <w:numId w:val="17"/>
        </w:numPr>
        <w:ind w:left="0" w:firstLine="420"/>
        <w:jc w:val="left"/>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上路作业应按规定办理相关手续，并服从公安、路政部门的管理，施工时按相关要求摆放标志标牌等，作业人员须穿着统一的安全标志服在作业封闭区内作业，严禁随意穿越车道；在作业封闭区内的车辆和设备应按要求设置安全标志，并开启黄色警示灯和双跳灯；运输车辆进出作业封闭区应遵守现场管理人员指挥，严禁私自开启中央分隔带开口调头；白天滞留在公路上的养护车辆及设备应整齐地停放，不得侵占行车道，并按规定设置相应的警示和隔离标志。</w:t>
      </w:r>
      <w:r/>
    </w:p>
    <w:p>
      <w:pPr>
        <w:numPr>
          <w:ilvl w:val="0"/>
          <w:numId w:val="17"/>
        </w:numPr>
        <w:ind w:left="0" w:firstLine="420"/>
        <w:jc w:val="left"/>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因供应商养护工作不到位造成公众生命财产损害导致的责任与赔偿由供应商承担。</w:t>
      </w:r>
      <w:r/>
    </w:p>
    <w:p>
      <w:pPr>
        <w:jc w:val="left"/>
        <w:spacing w:line="312" w:lineRule="auto"/>
        <w:tabs>
          <w:tab w:val="left" w:pos="567" w:leader="none"/>
        </w:tabs>
        <w:rPr>
          <w:rFonts w:hint="eastAsia" w:ascii="宋体" w:hAnsi="宋体" w:eastAsia="宋体" w:cs="宋体"/>
          <w:color w:val="auto"/>
          <w:sz w:val="21"/>
          <w:szCs w:val="21"/>
          <w:highlight w:val="none"/>
        </w:rPr>
        <w:outlineLvl w:val="7"/>
      </w:pPr>
      <w:r>
        <w:rPr>
          <w:rFonts w:hint="eastAsia" w:ascii="宋体" w:hAnsi="宋体" w:eastAsia="宋体" w:cs="宋体"/>
          <w:bCs/>
          <w:color w:val="auto"/>
          <w:sz w:val="21"/>
          <w:szCs w:val="21"/>
          <w:highlight w:val="none"/>
        </w:rPr>
        <w:t xml:space="preserve">★</w:t>
      </w:r>
      <w:r>
        <w:rPr>
          <w:rFonts w:hint="eastAsia" w:ascii="宋体" w:hAnsi="宋体" w:eastAsia="宋体" w:cs="宋体"/>
          <w:b/>
          <w:bCs/>
          <w:color w:val="auto"/>
          <w:sz w:val="21"/>
          <w:szCs w:val="21"/>
          <w:highlight w:val="none"/>
        </w:rPr>
        <w:t xml:space="preserve">文明施工及环境保护</w:t>
      </w:r>
      <w:r/>
    </w:p>
    <w:p>
      <w:pPr>
        <w:numPr>
          <w:ilvl w:val="0"/>
          <w:numId w:val="18"/>
        </w:numPr>
        <w:ind w:left="0" w:firstLine="420"/>
        <w:jc w:val="left"/>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在本合同服务期内，供应商必须遵守国家有关环境保护的法令。</w:t>
      </w:r>
      <w:r/>
    </w:p>
    <w:p>
      <w:pPr>
        <w:numPr>
          <w:ilvl w:val="0"/>
          <w:numId w:val="18"/>
        </w:numPr>
        <w:ind w:left="0" w:firstLine="420"/>
        <w:jc w:val="left"/>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如果由于供应商实施施工的原因，破坏了环境保护而导致的损失和赔偿，则由供应商承担全部责任。</w:t>
      </w:r>
      <w:r/>
    </w:p>
    <w:p>
      <w:pPr>
        <w:numPr>
          <w:ilvl w:val="0"/>
          <w:numId w:val="18"/>
        </w:numPr>
        <w:ind w:left="0" w:firstLine="420"/>
        <w:jc w:val="left"/>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实施过程中应做好相应的交通疏导工作；在项目服务期间，应结合日常养护及应急处置现场及周边的环境，采取必要的围挡及美化措施，在保证安全的前提下，做好文明施工、环保施工工作。其费用含在合同总价中，不单独计列。</w:t>
      </w:r>
      <w:r/>
    </w:p>
    <w:p>
      <w:pPr>
        <w:numPr>
          <w:ilvl w:val="0"/>
          <w:numId w:val="18"/>
        </w:numPr>
        <w:ind w:left="0" w:firstLine="420"/>
        <w:jc w:val="left"/>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在实施和完成本合同工程及缺陷修复工作中的一切施工作业时必须承担因供应商借用、占用或使用当地道路或其他交通设施所引起的补偿费、诉讼费、损害赔偿、指控费及其他开支。供应商必须及时做好施工涉及相关道路的交通维护、保洁维修工作，</w:t>
      </w:r>
      <w:r>
        <w:rPr>
          <w:rFonts w:hint="eastAsia" w:ascii="宋体" w:hAnsi="宋体" w:eastAsia="宋体" w:cs="宋体"/>
          <w:color w:val="auto"/>
          <w:sz w:val="21"/>
          <w:szCs w:val="21"/>
          <w:highlight w:val="none"/>
        </w:rPr>
        <w:t xml:space="preserve">维持沿线村镇的居民的饮水、农田灌溉、生产生活用电及通信等管线的正常使用；各类施工过程中，应自觉保护好其他新建道路既有设施，施工中应做到文明施工，确保不发生沿线扬尘、排污，而影响地方生活、生产和交通行车安全，尤其是泥浆排放应采取有效措施和施工工艺，不得污染环境和影响现有道路和在建其他道路的通行和施工；确保不因施工造成地方利益的损害，由此发生的一切协调、维护、维修费用均由供应商承担。在工程实施期间，应严格执行宁政发〔2013〕137号《市政府关于进一步加强建设工程文明施工管理的意见》和宁政办发〔2014〕119</w:t>
      </w:r>
      <w:r>
        <w:rPr>
          <w:rFonts w:hint="eastAsia" w:ascii="宋体" w:hAnsi="宋体" w:eastAsia="宋体" w:cs="宋体"/>
          <w:color w:val="auto"/>
          <w:sz w:val="21"/>
          <w:szCs w:val="21"/>
          <w:highlight w:val="none"/>
        </w:rPr>
        <w:t xml:space="preserve">号《市政府办公厅印发关于进一步加强环境治理提升环境质量若干措施实施细则的通知》、宁政发〔2014〕229号《市政府印发关于进一步加强环境治理提升环境质量的若干措施的通知》《南京市大气污染防治条例》《南京市扬尘污染防治管理办法》（市政府287号令）、《南京市渣土运输管理办法》（市政府301号令）、《关于印发南京市交通运输行业“两减六治三提升”工作实施方案的通知》（南京市交通运输局宁交科〔2017〕61号）、宁交规〔2015〕501号《关于开展建筑工地施工机械及工程车辆使用清洁油品专项检查通知》等中的相关规定。</w:t>
      </w:r>
      <w:r/>
    </w:p>
    <w:p>
      <w:pPr>
        <w:ind w:firstLine="42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施工禁用高排放非道路移动机械。禁止使用国一及以下和排放不达标的非道路移动机械，工程实施期间采购人按现行相关要求对投入的机械设备进行检查，对不按规定执行的使用人或所有人依法查处，为此发生的相关费用包含在所报的单价或总价中，采购人不再另行计列和支付。</w:t>
      </w:r>
      <w:r/>
    </w:p>
    <w:p>
      <w:pPr>
        <w:numPr>
          <w:ilvl w:val="0"/>
          <w:numId w:val="18"/>
        </w:numPr>
        <w:ind w:left="0" w:firstLine="420"/>
        <w:jc w:val="left"/>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如供应商在施工期间未能做好环境保护工作，使得周边环境遭到破坏或污染（包括扬尘污染），经采购人认可后，按照5000元/次的标准从计量款中扣除供应商的违约金。</w:t>
      </w:r>
      <w:r/>
    </w:p>
    <w:p>
      <w:pPr>
        <w:jc w:val="left"/>
        <w:spacing w:line="312" w:lineRule="auto"/>
        <w:tabs>
          <w:tab w:val="left" w:pos="567" w:leader="none"/>
        </w:tabs>
        <w:rPr>
          <w:rFonts w:hint="eastAsia" w:ascii="宋体" w:hAnsi="宋体" w:eastAsia="宋体" w:cs="宋体"/>
          <w:color w:val="auto"/>
          <w:sz w:val="21"/>
          <w:szCs w:val="21"/>
          <w:highlight w:val="none"/>
        </w:rPr>
        <w:outlineLvl w:val="7"/>
      </w:pPr>
      <w:r>
        <w:rPr>
          <w:rFonts w:hint="eastAsia" w:ascii="宋体" w:hAnsi="宋体" w:eastAsia="宋体" w:cs="宋体"/>
          <w:bCs/>
          <w:color w:val="auto"/>
          <w:sz w:val="21"/>
          <w:szCs w:val="21"/>
          <w:highlight w:val="none"/>
        </w:rPr>
        <w:t xml:space="preserve">★</w:t>
      </w:r>
      <w:r>
        <w:rPr>
          <w:rFonts w:hint="eastAsia" w:ascii="宋体" w:hAnsi="宋体" w:eastAsia="宋体" w:cs="宋体"/>
          <w:b/>
          <w:bCs/>
          <w:color w:val="auto"/>
          <w:sz w:val="21"/>
          <w:szCs w:val="21"/>
          <w:highlight w:val="none"/>
        </w:rPr>
        <w:t xml:space="preserve">交工验收</w:t>
      </w:r>
      <w:r/>
    </w:p>
    <w:p>
      <w:pPr>
        <w:ind w:firstLine="42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本项目服务期结束时即是工程完工，供应商在完成日常养护作业后由监理及时组织验收。</w:t>
      </w:r>
      <w:r/>
    </w:p>
    <w:p>
      <w:pPr>
        <w:jc w:val="left"/>
        <w:spacing w:line="312" w:lineRule="auto"/>
        <w:tabs>
          <w:tab w:val="left" w:pos="567" w:leader="none"/>
        </w:tabs>
        <w:rPr>
          <w:rFonts w:hint="eastAsia" w:ascii="宋体" w:hAnsi="宋体" w:eastAsia="宋体" w:cs="宋体"/>
          <w:color w:val="auto"/>
          <w:sz w:val="21"/>
          <w:szCs w:val="21"/>
          <w:highlight w:val="none"/>
        </w:rPr>
        <w:outlineLvl w:val="7"/>
      </w:pPr>
      <w:r>
        <w:rPr>
          <w:rFonts w:hint="eastAsia" w:ascii="宋体" w:hAnsi="宋体" w:eastAsia="宋体" w:cs="宋体"/>
          <w:bCs/>
          <w:color w:val="auto"/>
          <w:sz w:val="21"/>
          <w:szCs w:val="21"/>
          <w:highlight w:val="none"/>
        </w:rPr>
        <w:t xml:space="preserve">★</w:t>
      </w:r>
      <w:r>
        <w:rPr>
          <w:rFonts w:hint="eastAsia" w:ascii="宋体" w:hAnsi="宋体" w:eastAsia="宋体" w:cs="宋体"/>
          <w:b/>
          <w:bCs/>
          <w:color w:val="auto"/>
          <w:sz w:val="21"/>
          <w:szCs w:val="21"/>
          <w:highlight w:val="none"/>
        </w:rPr>
        <w:t xml:space="preserve">缺陷责任期</w:t>
      </w:r>
      <w:r/>
    </w:p>
    <w:p>
      <w:pPr>
        <w:ind w:firstLine="42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基价类无缺陷责任期，单价类缺陷责任期6个月。缺陷责任期自某项工作维修完成并经采购人验收合格之日起算。</w:t>
      </w:r>
      <w:r/>
    </w:p>
    <w:p>
      <w:pPr>
        <w:ind w:firstLine="42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在缺陷责任期内，供应商应负责对已完工程进行维护、保养。工程如发生损坏，除不可抗力原因外，供应商应认真采取修复措施，承担全部修复费用。</w:t>
      </w:r>
      <w:r/>
    </w:p>
    <w:p>
      <w:pPr>
        <w:jc w:val="left"/>
        <w:spacing w:line="312" w:lineRule="auto"/>
        <w:tabs>
          <w:tab w:val="left" w:pos="567" w:leader="none"/>
        </w:tabs>
        <w:rPr>
          <w:rFonts w:hint="eastAsia" w:ascii="宋体" w:hAnsi="宋体" w:eastAsia="宋体" w:cs="宋体"/>
          <w:color w:val="auto"/>
          <w:sz w:val="21"/>
          <w:szCs w:val="21"/>
          <w:highlight w:val="none"/>
        </w:rPr>
        <w:outlineLvl w:val="7"/>
      </w:pPr>
      <w:r>
        <w:rPr>
          <w:rFonts w:hint="eastAsia" w:ascii="宋体" w:hAnsi="宋体" w:eastAsia="宋体" w:cs="宋体"/>
          <w:bCs/>
          <w:color w:val="auto"/>
          <w:sz w:val="21"/>
          <w:szCs w:val="21"/>
          <w:highlight w:val="none"/>
        </w:rPr>
        <w:t xml:space="preserve">★</w:t>
      </w:r>
      <w:r>
        <w:rPr>
          <w:rFonts w:hint="eastAsia" w:ascii="宋体" w:hAnsi="宋体" w:eastAsia="宋体" w:cs="宋体"/>
          <w:b/>
          <w:bCs/>
          <w:color w:val="auto"/>
          <w:sz w:val="21"/>
          <w:szCs w:val="21"/>
          <w:highlight w:val="none"/>
        </w:rPr>
        <w:t xml:space="preserve">违约</w:t>
      </w:r>
      <w:r/>
    </w:p>
    <w:p>
      <w:pPr>
        <w:numPr>
          <w:ilvl w:val="0"/>
          <w:numId w:val="19"/>
        </w:numPr>
        <w:ind w:left="0" w:firstLine="420"/>
        <w:jc w:val="left"/>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将按照有关技术规范及所规定的要求对供应商所维修的质量验收，并对其质量进行不定期的检验鉴定，如不符要求供应商应立即重修，且修复时限不得超出本合同规定时间，否则采购人按拖延维修时间予以确认。</w:t>
      </w:r>
      <w:r/>
    </w:p>
    <w:p>
      <w:pPr>
        <w:numPr>
          <w:ilvl w:val="0"/>
          <w:numId w:val="19"/>
        </w:numPr>
        <w:ind w:left="0" w:firstLine="420"/>
        <w:jc w:val="left"/>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在施工过程中，因供应商养护管理不善而造成的任何形式的纠纷或事故，采购人概不承担任何责任。</w:t>
      </w:r>
      <w:r/>
    </w:p>
    <w:p>
      <w:pPr>
        <w:numPr>
          <w:ilvl w:val="0"/>
          <w:numId w:val="19"/>
        </w:numPr>
        <w:ind w:left="0" w:firstLine="420"/>
        <w:jc w:val="left"/>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因供应商原因致使项目养护及维修质量不符合国家有关规范标准或不符合双方约定标准，而造成人身和财产损害的，供应商应当承担损害赔偿责任。</w:t>
      </w:r>
      <w:r/>
    </w:p>
    <w:p>
      <w:pPr>
        <w:numPr>
          <w:ilvl w:val="0"/>
          <w:numId w:val="19"/>
        </w:numPr>
        <w:ind w:left="0" w:firstLine="420"/>
        <w:jc w:val="left"/>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对于因供应商原因造成服务进度滞后的事实或可能，采购人根据总体服务期要求以及单价类项目的进度要求有权强制分割合同，并指定第三方完成。</w:t>
      </w:r>
      <w:r/>
    </w:p>
    <w:p>
      <w:pPr>
        <w:numPr>
          <w:ilvl w:val="0"/>
          <w:numId w:val="19"/>
        </w:numPr>
        <w:ind w:left="0" w:firstLine="420"/>
        <w:jc w:val="left"/>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项目经理及现场负责人每月在岗天数不低于22天，每少1天课以1000元违约金。</w:t>
      </w:r>
      <w:r/>
    </w:p>
    <w:p>
      <w:pPr>
        <w:numPr>
          <w:ilvl w:val="0"/>
          <w:numId w:val="19"/>
        </w:numPr>
        <w:ind w:left="0" w:firstLine="420"/>
        <w:jc w:val="left"/>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需要根据道路养护范围和里程，储备充足数量的应急物资和材料，以保障道路在应对降雨、降雪、冰冻、水毁、事故等极端天气和突发事件时的安全和畅通，采购人可根据应急物资和材料的储备情况以及对道路安全畅通造成的影响和损失酌情扣减合同价款。</w:t>
      </w:r>
      <w:r/>
    </w:p>
    <w:p>
      <w:pPr>
        <w:numPr>
          <w:ilvl w:val="0"/>
          <w:numId w:val="19"/>
        </w:numPr>
        <w:ind w:left="0" w:firstLine="420"/>
        <w:jc w:val="left"/>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应做好企业的信访稳定工作，根据有关法律法规，切实保障职工合法权益，并将此项内容作为日常考核的重要依据，对未能保障职工合法权益的，或造成信访不稳定，或产生恶劣影响的，采购人可根据情况酌情扣减养护经费。</w:t>
      </w:r>
      <w:r/>
    </w:p>
    <w:p>
      <w:pPr>
        <w:numPr>
          <w:ilvl w:val="0"/>
          <w:numId w:val="19"/>
        </w:numPr>
        <w:ind w:left="0" w:firstLine="420"/>
        <w:jc w:val="left"/>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应按照“分工专业化、养护精细化、作业规范化、效果精致化”的养护要求组建路面、路基、桥涵构造物、沿线设施等专业养护队，在项目所在地区附近设置养护作业区，且至少配备满足项目需要的常用养护、应急设备。合同签订前以及合同履约过程中，采购人将按照相关规定对中标人的履约情况进行检查和审核，不满足上述规定的，采购人有权终止合同。</w:t>
      </w:r>
      <w:r/>
    </w:p>
    <w:p>
      <w:pPr>
        <w:numPr>
          <w:ilvl w:val="0"/>
          <w:numId w:val="19"/>
        </w:numPr>
        <w:ind w:left="0" w:firstLine="420"/>
        <w:jc w:val="left"/>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无不可抗力的因素，未经采购人同意，供应商不得随意拖延维修时间，供应商如未在本合同规定的时间内（要求供应商24小时内完成一般病害的养护修复任务，严重影响交通安全的病害应及时处理）进行修复，采购人将对供应商提出书面警告。如供应商累计三次被采购人书面警告，本合同将自行终止。</w:t>
      </w:r>
      <w:r/>
    </w:p>
    <w:p>
      <w:pPr>
        <w:numPr>
          <w:ilvl w:val="0"/>
          <w:numId w:val="19"/>
        </w:numPr>
        <w:ind w:left="0" w:firstLine="420"/>
        <w:jc w:val="left"/>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将按照有关技术规范及所规定的要求对供应商所维修的质量验收，并对其质量进行不定期的检验鉴定，如不符要求供应商应立即重修，且修复时限不得超出本合同规定时间，否则采购人按拖延维修时间予以确认。</w:t>
      </w:r>
      <w:r/>
    </w:p>
    <w:p>
      <w:pPr>
        <w:numPr>
          <w:ilvl w:val="0"/>
          <w:numId w:val="19"/>
        </w:numPr>
        <w:ind w:left="0" w:firstLine="420"/>
        <w:jc w:val="left"/>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如果一方未履行合同规定的责任，给对方造成不良影响和经济损失的，由责任方对损失方偿付相当于合同总价20%的违约金，同时承担相应责任并赔偿经济损失。损失方有权终止合同。</w:t>
      </w:r>
      <w:r/>
    </w:p>
    <w:p>
      <w:pPr>
        <w:numPr>
          <w:ilvl w:val="0"/>
          <w:numId w:val="19"/>
        </w:numPr>
        <w:ind w:left="0" w:firstLine="420"/>
        <w:jc w:val="left"/>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合同条款其他章节规定的违约情形。</w:t>
      </w:r>
      <w:r/>
    </w:p>
    <w:p>
      <w:pPr>
        <w:jc w:val="left"/>
        <w:spacing w:line="312" w:lineRule="auto"/>
        <w:tabs>
          <w:tab w:val="left" w:pos="567" w:leader="none"/>
        </w:tabs>
        <w:rPr>
          <w:rFonts w:hint="eastAsia" w:ascii="宋体" w:hAnsi="宋体" w:eastAsia="宋体" w:cs="宋体"/>
          <w:color w:val="auto"/>
          <w:sz w:val="21"/>
          <w:szCs w:val="21"/>
          <w:highlight w:val="none"/>
        </w:rPr>
        <w:outlineLvl w:val="7"/>
      </w:pPr>
      <w:r>
        <w:rPr>
          <w:rFonts w:hint="eastAsia" w:ascii="宋体" w:hAnsi="宋体" w:eastAsia="宋体" w:cs="宋体"/>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项目</w:t>
      </w:r>
      <w:r>
        <w:rPr>
          <w:rFonts w:hint="eastAsia" w:ascii="宋体" w:hAnsi="宋体" w:eastAsia="宋体" w:cs="宋体"/>
          <w:b/>
          <w:bCs/>
          <w:color w:val="auto"/>
          <w:sz w:val="21"/>
          <w:szCs w:val="21"/>
          <w:highlight w:val="none"/>
        </w:rPr>
        <w:t xml:space="preserve">变更</w:t>
      </w:r>
      <w:r/>
    </w:p>
    <w:p>
      <w:pPr>
        <w:numPr>
          <w:ilvl w:val="0"/>
          <w:numId w:val="20"/>
        </w:numPr>
        <w:ind w:left="0" w:firstLine="420"/>
        <w:jc w:val="left"/>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如果采购人认为有必要后即可通过有关手续对工程或其中任何部分的形式、质量或数量作出任何变更，采购人有权指示供应商进行也应进行下述工作：</w:t>
      </w:r>
      <w:r/>
    </w:p>
    <w:p>
      <w:pPr>
        <w:numPr>
          <w:ilvl w:val="0"/>
          <w:numId w:val="21"/>
        </w:numPr>
        <w:ind w:left="0" w:firstLine="420"/>
        <w:jc w:val="left"/>
        <w:spacing w:line="312" w:lineRule="auto"/>
        <w:tabs>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增加或减少合同中所包括的任何工程的数量；</w:t>
      </w:r>
      <w:r/>
    </w:p>
    <w:p>
      <w:pPr>
        <w:numPr>
          <w:ilvl w:val="0"/>
          <w:numId w:val="21"/>
        </w:numPr>
        <w:ind w:left="0" w:firstLine="420"/>
        <w:jc w:val="left"/>
        <w:spacing w:line="312" w:lineRule="auto"/>
        <w:tabs>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省略任何这类工作（但被省略的工作由采购人或其他供应商实施者除外）；</w:t>
      </w:r>
      <w:r/>
    </w:p>
    <w:p>
      <w:pPr>
        <w:numPr>
          <w:ilvl w:val="0"/>
          <w:numId w:val="21"/>
        </w:numPr>
        <w:ind w:left="0" w:firstLine="420"/>
        <w:jc w:val="left"/>
        <w:spacing w:line="312" w:lineRule="auto"/>
        <w:tabs>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改变任何这类工作的性质或质量或类型；</w:t>
      </w:r>
      <w:r/>
    </w:p>
    <w:p>
      <w:pPr>
        <w:numPr>
          <w:ilvl w:val="0"/>
          <w:numId w:val="21"/>
        </w:numPr>
        <w:ind w:left="0" w:firstLine="420"/>
        <w:jc w:val="left"/>
        <w:spacing w:line="312" w:lineRule="auto"/>
        <w:tabs>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改变工程任何部分的标高、基线、位置和尺寸；上述变更不应以任何方式使合同作废或失效。</w:t>
      </w:r>
      <w:r/>
    </w:p>
    <w:p>
      <w:pPr>
        <w:numPr>
          <w:ilvl w:val="0"/>
          <w:numId w:val="20"/>
        </w:numPr>
        <w:ind w:left="0" w:firstLine="420"/>
        <w:jc w:val="left"/>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认为适当的所有变更，应以合同中规定的单价进行计价。如合同中未包括适用于该变更工作的单价，则应在合理的范围内使用合同中的其他基础单价作为计价的基础。如工程数量的变更导致合同金额减少，不论减少程度有多大，供应商都不得向采购人提出费用补偿。</w:t>
      </w:r>
      <w:r/>
    </w:p>
    <w:p>
      <w:pPr>
        <w:numPr>
          <w:ilvl w:val="0"/>
          <w:numId w:val="20"/>
        </w:numPr>
        <w:ind w:left="0" w:firstLine="420"/>
        <w:jc w:val="left"/>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本合同价格在合同生效后任何一方不得擅自改变，但双方另有约定或发生下列情况之一的可作调整。</w:t>
      </w:r>
      <w:r/>
    </w:p>
    <w:p>
      <w:pPr>
        <w:numPr>
          <w:ilvl w:val="0"/>
          <w:numId w:val="22"/>
        </w:numPr>
        <w:ind w:left="0" w:firstLine="420"/>
        <w:jc w:val="left"/>
        <w:spacing w:line="312" w:lineRule="auto"/>
        <w:tabs>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采购人或其代表确认的工程量增减。</w:t>
      </w:r>
      <w:r/>
    </w:p>
    <w:p>
      <w:pPr>
        <w:numPr>
          <w:ilvl w:val="0"/>
          <w:numId w:val="22"/>
        </w:numPr>
        <w:ind w:left="0" w:firstLine="420"/>
        <w:jc w:val="left"/>
        <w:spacing w:line="312" w:lineRule="auto"/>
        <w:tabs>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采购人或其代表确认的设计变更或工程洽商。</w:t>
      </w:r>
      <w:r/>
    </w:p>
    <w:p>
      <w:pPr>
        <w:numPr>
          <w:ilvl w:val="0"/>
          <w:numId w:val="22"/>
        </w:numPr>
        <w:ind w:left="0" w:firstLine="420"/>
        <w:jc w:val="left"/>
        <w:spacing w:line="312" w:lineRule="auto"/>
        <w:tabs>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其它采购人或其代表同意的价格调整。</w:t>
      </w:r>
      <w:r/>
    </w:p>
    <w:p>
      <w:pPr>
        <w:ind w:firstLine="42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供应商应在上述情况发生后10天内，将调整的原因、金额以书面形式通知采购人或其代表，采购人或其代表批准后通知供应商。</w:t>
      </w:r>
      <w:r/>
    </w:p>
    <w:p>
      <w:pPr>
        <w:jc w:val="left"/>
        <w:spacing w:line="312" w:lineRule="auto"/>
        <w:tabs>
          <w:tab w:val="left" w:pos="567" w:leader="none"/>
        </w:tabs>
        <w:rPr>
          <w:rFonts w:hint="eastAsia" w:ascii="宋体" w:hAnsi="宋体" w:eastAsia="宋体" w:cs="宋体"/>
          <w:color w:val="auto"/>
          <w:sz w:val="21"/>
          <w:szCs w:val="21"/>
          <w:highlight w:val="none"/>
        </w:rPr>
        <w:outlineLvl w:val="7"/>
      </w:pPr>
      <w:r>
        <w:rPr>
          <w:rFonts w:hint="eastAsia" w:ascii="宋体" w:hAnsi="宋体" w:eastAsia="宋体" w:cs="宋体"/>
          <w:bCs/>
          <w:color w:val="auto"/>
          <w:sz w:val="21"/>
          <w:szCs w:val="21"/>
          <w:highlight w:val="none"/>
        </w:rPr>
        <w:t xml:space="preserve">★</w:t>
      </w:r>
      <w:r>
        <w:rPr>
          <w:rFonts w:hint="eastAsia" w:ascii="宋体" w:hAnsi="宋体" w:eastAsia="宋体" w:cs="宋体"/>
          <w:b/>
          <w:bCs/>
          <w:color w:val="auto"/>
          <w:sz w:val="21"/>
          <w:szCs w:val="21"/>
          <w:highlight w:val="none"/>
        </w:rPr>
        <w:t xml:space="preserve">不可抗力</w:t>
      </w:r>
      <w:r/>
    </w:p>
    <w:p>
      <w:pPr>
        <w:ind w:firstLine="42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当事人一方因不可抗力不能履行合同的，应当及时通知对方，并应当积极采取措施以减轻或消除可能给对方造成的损失，并应当在事件结束后7天内提供有力证明。因不可抗力不能履行合同的，根据不可抗力的影响，部分或者全部（由双方协商确定）免除责任，但法律另有规定的除外。当事人迟延履行后发生不可抗力的，不能免除责任。因不可抗力使合同不能如期履行时，由双方协商确定是否延期履行或终止本合同。本项目中供应商无法预见，也无法采取措施加以防范的或自然力的破坏作用，主要是指以下情况（但不限于以下情况）：</w:t>
      </w:r>
      <w:r/>
    </w:p>
    <w:p>
      <w:pPr>
        <w:numPr>
          <w:ilvl w:val="0"/>
          <w:numId w:val="23"/>
        </w:numPr>
        <w:ind w:left="0" w:firstLine="420"/>
        <w:jc w:val="left"/>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合同路段的交通量非正常性增长，对道路造成结构性损坏的；</w:t>
      </w:r>
      <w:r/>
    </w:p>
    <w:p>
      <w:pPr>
        <w:numPr>
          <w:ilvl w:val="0"/>
          <w:numId w:val="23"/>
        </w:numPr>
        <w:ind w:left="0" w:firstLine="420"/>
        <w:jc w:val="left"/>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合同路段发生重大交通事故，对道路造成较大损坏的；</w:t>
      </w:r>
      <w:r/>
    </w:p>
    <w:p>
      <w:pPr>
        <w:numPr>
          <w:ilvl w:val="0"/>
          <w:numId w:val="23"/>
        </w:numPr>
        <w:ind w:left="0" w:firstLine="420"/>
        <w:jc w:val="left"/>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合同路段发生水毁的；</w:t>
      </w:r>
      <w:r/>
    </w:p>
    <w:p>
      <w:pPr>
        <w:numPr>
          <w:ilvl w:val="0"/>
          <w:numId w:val="23"/>
        </w:numPr>
        <w:ind w:left="0" w:firstLine="420"/>
        <w:jc w:val="left"/>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合同路段区域内发生地震等自然灾害，对道路造成损坏的。</w:t>
      </w:r>
      <w:r/>
    </w:p>
    <w:p>
      <w:pPr>
        <w:jc w:val="left"/>
        <w:spacing w:line="312" w:lineRule="auto"/>
        <w:tabs>
          <w:tab w:val="left" w:pos="567" w:leader="none"/>
        </w:tabs>
        <w:rPr>
          <w:rFonts w:hint="eastAsia" w:ascii="宋体" w:hAnsi="宋体" w:eastAsia="宋体" w:cs="宋体"/>
          <w:color w:val="auto"/>
          <w:sz w:val="21"/>
          <w:szCs w:val="21"/>
          <w:highlight w:val="none"/>
        </w:rPr>
        <w:outlineLvl w:val="7"/>
      </w:pPr>
      <w:r>
        <w:rPr>
          <w:rFonts w:hint="eastAsia" w:ascii="宋体" w:hAnsi="宋体" w:eastAsia="宋体" w:cs="宋体"/>
          <w:bCs/>
          <w:color w:val="auto"/>
          <w:sz w:val="21"/>
          <w:szCs w:val="21"/>
          <w:highlight w:val="none"/>
        </w:rPr>
        <w:t xml:space="preserve">★</w:t>
      </w:r>
      <w:r>
        <w:rPr>
          <w:rFonts w:hint="eastAsia" w:ascii="宋体" w:hAnsi="宋体" w:eastAsia="宋体" w:cs="宋体"/>
          <w:b/>
          <w:bCs/>
          <w:color w:val="auto"/>
          <w:sz w:val="21"/>
          <w:szCs w:val="21"/>
          <w:highlight w:val="none"/>
        </w:rPr>
        <w:t xml:space="preserve">税金和保险</w:t>
      </w:r>
      <w:r/>
    </w:p>
    <w:p>
      <w:pPr>
        <w:numPr>
          <w:ilvl w:val="0"/>
          <w:numId w:val="0"/>
        </w:numPr>
        <w:ind w:left="0" w:firstLine="420"/>
        <w:jc w:val="left"/>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rPr>
        <w:t xml:space="preserve">政府根据现行税法和有关部门现行规定就本合同项下向供应商征收的所有税金及其它应缴纳的所有费用，均由供应商摊入各工程细目的单价中，不另报价。</w:t>
      </w:r>
      <w:r/>
    </w:p>
    <w:p>
      <w:pPr>
        <w:numPr>
          <w:ilvl w:val="0"/>
          <w:numId w:val="0"/>
        </w:numPr>
        <w:ind w:left="0" w:firstLine="420"/>
        <w:jc w:val="left"/>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rPr>
        <w:t xml:space="preserve">保险</w:t>
      </w:r>
      <w:r/>
    </w:p>
    <w:p>
      <w:pPr>
        <w:numPr>
          <w:ilvl w:val="0"/>
          <w:numId w:val="24"/>
        </w:numPr>
        <w:ind w:left="0" w:firstLine="420"/>
        <w:jc w:val="left"/>
        <w:spacing w:line="312" w:lineRule="auto"/>
        <w:tabs>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本项目公众责任险由中标人以供应商、采购人（南京市江宁区交通运输局）的名义投保，投保条件与投保费率由供应商根据江苏省保险行业协会有关公路工程保险的相关规定自行考虑，其费用在采购清单中列支。</w:t>
      </w:r>
      <w:r/>
    </w:p>
    <w:p>
      <w:pPr>
        <w:numPr>
          <w:ilvl w:val="0"/>
          <w:numId w:val="24"/>
        </w:numPr>
        <w:ind w:left="0" w:firstLine="420"/>
        <w:jc w:val="left"/>
        <w:spacing w:line="312" w:lineRule="auto"/>
        <w:tabs>
          <w:tab w:val="left" w:pos="1134" w:leader="none"/>
        </w:tabs>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本项目建筑工程一切险及第三者责任险由中标人以中标人、采购人</w:t>
      </w:r>
      <w:r>
        <w:rPr>
          <w:rFonts w:hint="eastAsia" w:ascii="宋体" w:hAnsi="宋体" w:eastAsia="宋体" w:cs="宋体"/>
          <w:color w:val="auto"/>
          <w:sz w:val="21"/>
          <w:szCs w:val="21"/>
          <w:highlight w:val="none"/>
        </w:rPr>
        <w:t xml:space="preserve">（南京市江宁区交通运输局）</w:t>
      </w:r>
      <w:r>
        <w:rPr>
          <w:rFonts w:hint="eastAsia" w:ascii="宋体" w:hAnsi="宋体" w:eastAsia="宋体" w:cs="宋体"/>
          <w:bCs/>
          <w:color w:val="auto"/>
          <w:sz w:val="21"/>
          <w:szCs w:val="21"/>
          <w:highlight w:val="none"/>
        </w:rPr>
        <w:t xml:space="preserve">的名义投保，投保条件与保险费率由中标人根据江苏省保险行业协会有关公路工程保险的相关规定自行考虑。其费用在采购清单中列支。</w:t>
      </w:r>
      <w:r/>
    </w:p>
    <w:p>
      <w:pPr>
        <w:ind w:firstLine="420"/>
        <w:spacing w:line="312"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据苏人社规[2023]2号文《江苏省人力资源社会保障厅江苏省财政厅江苏省税务局关于印发江苏省工伤保险费率管理办法(修订版)的通知》、苏人社函[2025]1号《省人力资源社会保障厅关于确定2025年全省工程建设项目工伤保险费率的通知》的规定，工伤保险费率为最高投标限价的3‰，费用在采购清单中列支。</w:t>
      </w:r>
      <w:r/>
    </w:p>
    <w:p>
      <w:pPr>
        <w:numPr>
          <w:ilvl w:val="0"/>
          <w:numId w:val="24"/>
        </w:numPr>
        <w:ind w:left="0" w:firstLine="420"/>
        <w:jc w:val="left"/>
        <w:spacing w:line="312" w:lineRule="auto"/>
        <w:tabs>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装备险和中标人职工的（人身）事故险（包括临时工和民工）均由中标人投保，保险费由供应商承担并支付，其费用含在中标人的投标报价中，采购人不另行计量与支付。供应商负责办理产品在采购、运输过程中的一切保险，保险费由供应商承担。由此发生的相关费用计入采购清单各工程细目的单价或总价中，采购人不再另行计量与支付。</w:t>
      </w:r>
      <w:r/>
    </w:p>
    <w:p>
      <w:pPr>
        <w:numPr>
          <w:ilvl w:val="0"/>
          <w:numId w:val="24"/>
        </w:numPr>
        <w:ind w:left="0" w:firstLine="420"/>
        <w:jc w:val="left"/>
        <w:spacing w:line="312" w:lineRule="auto"/>
        <w:tabs>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供应商必须按招标文件和国家有关规定办理各种保险，一旦发生保险范围内的事件，损失由中标人自行承担。</w:t>
      </w:r>
      <w:r/>
    </w:p>
    <w:p>
      <w:pPr>
        <w:jc w:val="left"/>
        <w:spacing w:line="312" w:lineRule="auto"/>
        <w:tabs>
          <w:tab w:val="left" w:pos="567" w:leader="none"/>
        </w:tabs>
        <w:rPr>
          <w:rFonts w:hint="eastAsia" w:ascii="宋体" w:hAnsi="宋体" w:eastAsia="宋体" w:cs="宋体"/>
          <w:color w:val="auto"/>
          <w:sz w:val="21"/>
          <w:szCs w:val="21"/>
          <w:highlight w:val="none"/>
        </w:rPr>
        <w:outlineLvl w:val="7"/>
      </w:pPr>
      <w:r>
        <w:rPr>
          <w:rFonts w:hint="eastAsia" w:ascii="宋体" w:hAnsi="宋体" w:eastAsia="宋体" w:cs="宋体"/>
          <w:bCs/>
          <w:color w:val="auto"/>
          <w:sz w:val="21"/>
          <w:szCs w:val="21"/>
          <w:highlight w:val="none"/>
        </w:rPr>
        <w:t xml:space="preserve">★</w:t>
      </w:r>
      <w:r>
        <w:rPr>
          <w:rFonts w:hint="eastAsia" w:ascii="宋体" w:hAnsi="宋体" w:eastAsia="宋体" w:cs="宋体"/>
          <w:b/>
          <w:bCs/>
          <w:color w:val="auto"/>
          <w:sz w:val="21"/>
          <w:szCs w:val="21"/>
          <w:highlight w:val="none"/>
        </w:rPr>
        <w:t xml:space="preserve">诉讼和法律</w:t>
      </w:r>
      <w:r/>
    </w:p>
    <w:p>
      <w:pPr>
        <w:ind w:firstLine="42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供应商与采购人发生合同纠纷时，双方应尽量通过协商解决，协商不成时，申诉方可向南京市人民法院提起诉讼，相关费用由败诉方承担。</w:t>
      </w:r>
      <w:r/>
    </w:p>
    <w:p>
      <w:pPr>
        <w:ind w:firstLine="42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本合同条款未尽事宜，合同双方应参照《中华人民共和国民法典》执行。</w:t>
      </w:r>
      <w:r/>
    </w:p>
    <w:p>
      <w:pPr>
        <w:jc w:val="left"/>
        <w:spacing w:line="312" w:lineRule="auto"/>
        <w:tabs>
          <w:tab w:val="left" w:pos="567" w:leader="none"/>
        </w:tabs>
        <w:rPr>
          <w:rFonts w:hint="eastAsia" w:ascii="宋体" w:hAnsi="宋体" w:eastAsia="宋体" w:cs="宋体"/>
          <w:color w:val="auto"/>
          <w:sz w:val="21"/>
          <w:szCs w:val="21"/>
          <w:highlight w:val="none"/>
        </w:rPr>
        <w:outlineLvl w:val="7"/>
      </w:pPr>
      <w:r>
        <w:rPr>
          <w:rFonts w:hint="eastAsia" w:ascii="宋体" w:hAnsi="宋体" w:eastAsia="宋体" w:cs="宋体"/>
          <w:bCs/>
          <w:color w:val="auto"/>
          <w:sz w:val="21"/>
          <w:szCs w:val="21"/>
          <w:highlight w:val="none"/>
        </w:rPr>
        <w:t xml:space="preserve">★</w:t>
      </w:r>
      <w:r>
        <w:rPr>
          <w:rFonts w:hint="eastAsia" w:ascii="宋体" w:hAnsi="宋体" w:eastAsia="宋体" w:cs="宋体"/>
          <w:b/>
          <w:bCs/>
          <w:color w:val="auto"/>
          <w:sz w:val="21"/>
          <w:szCs w:val="21"/>
          <w:highlight w:val="none"/>
        </w:rPr>
        <w:t xml:space="preserve">合同生效</w:t>
      </w:r>
      <w:r/>
    </w:p>
    <w:p>
      <w:pPr>
        <w:ind w:firstLine="420"/>
        <w:jc w:val="left"/>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本合同经各方法人代表或授权人签字并加盖公章后生效。</w:t>
      </w:r>
      <w:r/>
    </w:p>
    <w:p>
      <w:pPr>
        <w:jc w:val="left"/>
        <w:spacing w:line="312" w:lineRule="auto"/>
        <w:tabs>
          <w:tab w:val="left" w:pos="567" w:leader="none"/>
        </w:tabs>
        <w:rPr>
          <w:rFonts w:hint="eastAsia" w:ascii="宋体" w:hAnsi="宋体" w:eastAsia="宋体" w:cs="宋体"/>
          <w:color w:val="auto"/>
          <w:sz w:val="21"/>
          <w:szCs w:val="21"/>
          <w:highlight w:val="none"/>
        </w:rPr>
        <w:outlineLvl w:val="7"/>
      </w:pPr>
      <w:r>
        <w:rPr>
          <w:rFonts w:hint="eastAsia" w:ascii="宋体" w:hAnsi="宋体" w:eastAsia="宋体" w:cs="宋体"/>
          <w:bCs/>
          <w:color w:val="auto"/>
          <w:sz w:val="21"/>
          <w:szCs w:val="21"/>
          <w:highlight w:val="none"/>
        </w:rPr>
        <w:t xml:space="preserve">★</w:t>
      </w:r>
      <w:r>
        <w:rPr>
          <w:rFonts w:hint="eastAsia" w:ascii="宋体" w:hAnsi="宋体" w:eastAsia="宋体" w:cs="宋体"/>
          <w:b/>
          <w:bCs/>
          <w:color w:val="auto"/>
          <w:sz w:val="21"/>
          <w:szCs w:val="21"/>
          <w:highlight w:val="none"/>
        </w:rPr>
        <w:t xml:space="preserve">其它</w:t>
      </w:r>
      <w:r/>
    </w:p>
    <w:p>
      <w:pPr>
        <w:pStyle w:val="846"/>
        <w:ind w:left="0" w:firstLine="420"/>
        <w:spacing w:line="312"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 xml:space="preserve">其他未尽事宜，双方友好协商解决。</w:t>
      </w:r>
      <w:bookmarkEnd w:id="43"/>
      <w:r/>
      <w:r/>
    </w:p>
    <w:p>
      <w:pPr>
        <w:pStyle w:val="823"/>
        <w:ind w:left="23" w:right="25" w:firstLine="456"/>
        <w:spacing w:before="64" w:line="360" w:lineRule="auto"/>
        <w:rPr>
          <w:rFonts w:hint="eastAsia"/>
          <w:color w:val="auto"/>
          <w:sz w:val="22"/>
          <w:szCs w:val="22"/>
          <w:highlight w:val="none"/>
          <w:lang w:val="zh-CN" w:eastAsia="zh-CN" w:bidi="ar"/>
        </w:rPr>
      </w:pPr>
      <w:r>
        <w:rPr>
          <w:rFonts w:hint="eastAsia"/>
          <w:color w:val="auto"/>
          <w:sz w:val="22"/>
          <w:szCs w:val="22"/>
          <w:highlight w:val="none"/>
          <w:lang w:val="zh-CN" w:eastAsia="zh-CN" w:bidi="ar"/>
        </w:rPr>
      </w:r>
      <w:r/>
    </w:p>
    <w:p>
      <w:pPr>
        <w:jc w:val="center"/>
        <w:spacing w:line="360" w:lineRule="auto"/>
        <w:rPr>
          <w:rFonts w:hint="eastAsia" w:ascii="宋体" w:hAnsi="宋体" w:cs="宋体"/>
          <w:color w:val="auto"/>
          <w:sz w:val="36"/>
          <w:szCs w:val="36"/>
          <w:highlight w:val="none"/>
          <w:lang w:val="zh-CN"/>
        </w:rPr>
      </w:pPr>
      <w:r/>
      <w:bookmarkStart w:id="44" w:name="_Toc14391"/>
      <w:r/>
      <w:bookmarkStart w:id="45" w:name="_Toc28215"/>
      <w:r>
        <w:rPr>
          <w:rFonts w:hint="eastAsia" w:ascii="宋体" w:hAnsi="宋体"/>
          <w:color w:val="auto"/>
          <w:szCs w:val="21"/>
          <w:highlight w:val="none"/>
        </w:rPr>
        <w:br w:type="page" w:clear="all"/>
      </w:r>
      <w:bookmarkStart w:id="46" w:name="_Toc28109"/>
      <w:r/>
      <w:bookmarkStart w:id="47" w:name="_Toc7238"/>
      <w:r>
        <w:rPr>
          <w:rStyle w:val="1002"/>
          <w:rFonts w:hint="eastAsia"/>
          <w:color w:val="auto"/>
          <w:highlight w:val="none"/>
          <w:lang w:val="zh-CN"/>
        </w:rPr>
        <w:t xml:space="preserve">第五章</w:t>
      </w:r>
      <w:r>
        <w:rPr>
          <w:rStyle w:val="1002"/>
          <w:rFonts w:hint="eastAsia"/>
          <w:color w:val="auto"/>
          <w:highlight w:val="none"/>
        </w:rPr>
        <w:t xml:space="preserve"> </w:t>
      </w:r>
      <w:r>
        <w:rPr>
          <w:rStyle w:val="1002"/>
          <w:rFonts w:hint="eastAsia"/>
          <w:color w:val="auto"/>
          <w:highlight w:val="none"/>
          <w:lang w:val="zh-CN"/>
        </w:rPr>
        <w:t xml:space="preserve">合同主要条款及格式</w:t>
      </w:r>
      <w:bookmarkEnd w:id="44"/>
      <w:r/>
      <w:bookmarkEnd w:id="45"/>
      <w:r/>
      <w:bookmarkEnd w:id="46"/>
      <w:r/>
      <w:bookmarkEnd w:id="47"/>
      <w:r/>
      <w:r/>
    </w:p>
    <w:p>
      <w:pPr>
        <w:jc w:val="center"/>
        <w:spacing w:line="360" w:lineRule="auto"/>
        <w:shd w:val="clear" w:color="auto" w:fill="ffffff"/>
        <w:widowControl/>
        <w:rPr>
          <w:rFonts w:hint="eastAsia" w:ascii="宋体" w:hAnsi="宋体"/>
          <w:color w:val="auto"/>
          <w:sz w:val="52"/>
          <w:szCs w:val="52"/>
          <w:highlight w:val="none"/>
        </w:rPr>
      </w:pPr>
      <w:r>
        <w:rPr>
          <w:rFonts w:hint="eastAsia" w:ascii="宋体" w:hAnsi="宋体"/>
          <w:color w:val="auto"/>
          <w:sz w:val="52"/>
          <w:szCs w:val="52"/>
          <w:highlight w:val="none"/>
        </w:rPr>
      </w:r>
      <w:r/>
    </w:p>
    <w:p>
      <w:pPr>
        <w:jc w:val="center"/>
        <w:spacing w:line="360" w:lineRule="auto"/>
        <w:rPr>
          <w:b/>
          <w:color w:val="auto"/>
          <w:highlight w:val="none"/>
        </w:rPr>
      </w:pPr>
      <w:r>
        <w:rPr>
          <w:rFonts w:hint="eastAsia"/>
          <w:b/>
          <w:color w:val="auto"/>
          <w:highlight w:val="none"/>
        </w:rPr>
        <w:t xml:space="preserve">南京市江宁区政府采购合同（服务类）</w:t>
      </w:r>
      <w:r/>
    </w:p>
    <w:p>
      <w:pPr>
        <w:ind w:firstLine="3240"/>
        <w:rPr>
          <w:rFonts w:hint="eastAsia" w:ascii="宋体" w:hAnsi="宋体" w:cs="方正小标宋简体"/>
          <w:bCs/>
          <w:color w:val="auto"/>
          <w:sz w:val="36"/>
          <w:szCs w:val="36"/>
          <w:highlight w:val="none"/>
        </w:rPr>
      </w:pPr>
      <w:r/>
      <w:bookmarkStart w:id="48" w:name="_Toc29597"/>
      <w:r/>
      <w:bookmarkStart w:id="49" w:name="_Toc27946"/>
      <w:r/>
      <w:bookmarkStart w:id="50" w:name="_Toc18137"/>
      <w:r>
        <w:rPr>
          <w:rFonts w:hint="eastAsia" w:ascii="宋体" w:hAnsi="宋体" w:cs="方正小标宋简体"/>
          <w:bCs/>
          <w:color w:val="auto"/>
          <w:sz w:val="36"/>
          <w:szCs w:val="36"/>
          <w:highlight w:val="none"/>
        </w:rPr>
        <w:t xml:space="preserve">采购合同（暂定稿）</w:t>
      </w:r>
      <w:r/>
    </w:p>
    <w:p>
      <w:pPr>
        <w:pStyle w:val="817"/>
        <w:rPr>
          <w:rFonts w:hint="eastAsia"/>
          <w:color w:val="auto"/>
          <w:sz w:val="24"/>
          <w:szCs w:val="24"/>
          <w:highlight w:val="none"/>
        </w:rPr>
      </w:pPr>
      <w:r>
        <w:rPr>
          <w:rFonts w:hint="eastAsia"/>
          <w:color w:val="auto"/>
          <w:sz w:val="24"/>
          <w:szCs w:val="24"/>
          <w:highlight w:val="none"/>
        </w:rPr>
      </w:r>
      <w:r/>
    </w:p>
    <w:p>
      <w:pPr>
        <w:ind w:firstLine="480"/>
        <w:jc w:val="left"/>
        <w:rPr>
          <w:rFonts w:hint="eastAsia" w:ascii="宋体" w:hAnsi="宋体"/>
          <w:color w:val="auto"/>
          <w:sz w:val="24"/>
          <w:szCs w:val="24"/>
          <w:highlight w:val="none"/>
        </w:rPr>
      </w:pPr>
      <w:r>
        <w:rPr>
          <w:rFonts w:hint="eastAsia" w:ascii="宋体" w:hAnsi="宋体"/>
          <w:color w:val="auto"/>
          <w:sz w:val="24"/>
          <w:szCs w:val="24"/>
          <w:highlight w:val="none"/>
        </w:rPr>
        <w:t xml:space="preserve">合同编号：</w:t>
      </w:r>
      <w:r/>
    </w:p>
    <w:p>
      <w:pPr>
        <w:ind w:firstLine="480"/>
        <w:jc w:val="left"/>
        <w:rPr>
          <w:rFonts w:hint="eastAsia" w:ascii="宋体" w:hAnsi="宋体"/>
          <w:color w:val="auto"/>
          <w:sz w:val="24"/>
          <w:szCs w:val="24"/>
          <w:highlight w:val="none"/>
        </w:rPr>
      </w:pPr>
      <w:r>
        <w:rPr>
          <w:rFonts w:hint="eastAsia" w:ascii="宋体" w:hAnsi="宋体"/>
          <w:color w:val="auto"/>
          <w:sz w:val="24"/>
          <w:szCs w:val="24"/>
          <w:highlight w:val="none"/>
        </w:rPr>
        <w:t xml:space="preserve">项目名称：                                       项目编号：</w:t>
      </w:r>
      <w:r/>
    </w:p>
    <w:p>
      <w:pPr>
        <w:ind w:firstLine="480"/>
        <w:jc w:val="left"/>
        <w:rPr>
          <w:rFonts w:hint="eastAsia" w:ascii="宋体" w:hAnsi="宋体"/>
          <w:color w:val="auto"/>
          <w:sz w:val="24"/>
          <w:szCs w:val="24"/>
          <w:highlight w:val="none"/>
        </w:rPr>
      </w:pPr>
      <w:r>
        <w:rPr>
          <w:rFonts w:hint="eastAsia" w:ascii="宋体" w:hAnsi="宋体"/>
          <w:color w:val="auto"/>
          <w:sz w:val="24"/>
          <w:szCs w:val="24"/>
          <w:highlight w:val="none"/>
        </w:rPr>
        <w:t xml:space="preserve">甲方（采购人）： </w:t>
      </w:r>
      <w:r/>
    </w:p>
    <w:p>
      <w:pPr>
        <w:ind w:firstLine="480"/>
        <w:jc w:val="left"/>
        <w:rPr>
          <w:rFonts w:hint="eastAsia" w:ascii="宋体" w:hAnsi="宋体"/>
          <w:color w:val="auto"/>
          <w:sz w:val="24"/>
          <w:szCs w:val="24"/>
          <w:highlight w:val="none"/>
        </w:rPr>
      </w:pPr>
      <w:r>
        <w:rPr>
          <w:rFonts w:hint="eastAsia" w:ascii="宋体" w:hAnsi="宋体"/>
          <w:color w:val="auto"/>
          <w:sz w:val="24"/>
          <w:szCs w:val="24"/>
          <w:highlight w:val="none"/>
        </w:rPr>
        <w:t xml:space="preserve">乙方（供应商）： </w:t>
      </w:r>
      <w:r/>
    </w:p>
    <w:p>
      <w:pPr>
        <w:ind w:firstLine="480"/>
        <w:jc w:val="lef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jc w:val="left"/>
        <w:rPr>
          <w:rFonts w:hint="eastAsia" w:ascii="宋体" w:hAnsi="宋体"/>
          <w:color w:val="auto"/>
          <w:sz w:val="24"/>
          <w:szCs w:val="24"/>
          <w:highlight w:val="none"/>
        </w:rPr>
      </w:pPr>
      <w:r>
        <w:rPr>
          <w:rFonts w:hint="eastAsia" w:ascii="宋体" w:hAnsi="宋体"/>
          <w:color w:val="auto"/>
          <w:sz w:val="24"/>
          <w:szCs w:val="24"/>
          <w:highlight w:val="none"/>
        </w:rPr>
        <w:t xml:space="preserve">甲、乙双方根据</w:t>
      </w:r>
      <w:r>
        <w:rPr>
          <w:rFonts w:hint="eastAsia" w:ascii="宋体" w:hAnsi="宋体"/>
          <w:color w:val="auto"/>
          <w:sz w:val="24"/>
          <w:szCs w:val="24"/>
          <w:highlight w:val="none"/>
          <w:u w:val="single"/>
        </w:rPr>
        <w:t xml:space="preserve">            项目</w:t>
      </w:r>
      <w:r>
        <w:rPr>
          <w:rFonts w:hint="eastAsia" w:ascii="宋体" w:hAnsi="宋体"/>
          <w:color w:val="auto"/>
          <w:sz w:val="24"/>
          <w:szCs w:val="24"/>
          <w:highlight w:val="none"/>
        </w:rPr>
        <w:t xml:space="preserve">公开采购招标结果，签署本合同。</w:t>
      </w:r>
      <w:r/>
    </w:p>
    <w:p>
      <w:pPr>
        <w:jc w:val="left"/>
        <w:rPr>
          <w:rFonts w:hint="eastAsia"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．工程概况</w:t>
      </w:r>
      <w:r/>
    </w:p>
    <w:p>
      <w:pPr>
        <w:ind w:firstLine="480"/>
        <w:jc w:val="left"/>
        <w:rPr>
          <w:rFonts w:hint="eastAsia" w:ascii="宋体" w:hAnsi="宋体"/>
          <w:color w:val="auto"/>
          <w:sz w:val="24"/>
          <w:szCs w:val="24"/>
          <w:highlight w:val="none"/>
        </w:rPr>
      </w:pPr>
      <w:r>
        <w:rPr>
          <w:rFonts w:hint="eastAsia" w:ascii="宋体" w:hAnsi="宋体"/>
          <w:color w:val="auto"/>
          <w:sz w:val="24"/>
          <w:szCs w:val="24"/>
          <w:highlight w:val="none"/>
        </w:rPr>
        <w:t xml:space="preserve">2026年S122汤山段辅道日常养护项目主要包括包括对S122 （汤山段辅道）的养护，道路病害维修、桥涵构造物维修维护、安保更换维修维护、突发道路事件处置、以及道路附属设施养护等以及采购人指令的其它工作内容。</w:t>
      </w:r>
      <w:r/>
    </w:p>
    <w:p>
      <w:pPr>
        <w:jc w:val="left"/>
        <w:rPr>
          <w:rFonts w:hint="eastAsia"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．下列文件应视为构成合同文件的组成部分：</w:t>
      </w:r>
      <w:r/>
    </w:p>
    <w:p>
      <w:pPr>
        <w:jc w:val="left"/>
        <w:rPr>
          <w:rFonts w:hint="eastAsia"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）本协议书及各种合同附件（含评标期间和合同谈判过程中的澄清文件和补充资料）；</w:t>
      </w:r>
      <w:r/>
    </w:p>
    <w:p>
      <w:pPr>
        <w:jc w:val="left"/>
        <w:rPr>
          <w:rFonts w:hint="eastAsia"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2</w:t>
      </w:r>
      <w:r>
        <w:rPr>
          <w:rFonts w:hint="eastAsia" w:ascii="宋体" w:hAnsi="宋体"/>
          <w:color w:val="auto"/>
          <w:sz w:val="24"/>
          <w:szCs w:val="24"/>
          <w:highlight w:val="none"/>
        </w:rPr>
        <w:t xml:space="preserve">）成交通知书；</w:t>
      </w:r>
      <w:r/>
    </w:p>
    <w:p>
      <w:pPr>
        <w:jc w:val="left"/>
        <w:rPr>
          <w:rFonts w:hint="eastAsia"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3</w:t>
      </w:r>
      <w:r>
        <w:rPr>
          <w:rFonts w:hint="eastAsia" w:ascii="宋体" w:hAnsi="宋体"/>
          <w:color w:val="auto"/>
          <w:sz w:val="24"/>
          <w:szCs w:val="24"/>
          <w:highlight w:val="none"/>
        </w:rPr>
        <w:t xml:space="preserve">）投标函；</w:t>
      </w:r>
      <w:r/>
    </w:p>
    <w:p>
      <w:pPr>
        <w:jc w:val="left"/>
        <w:rPr>
          <w:rFonts w:hint="eastAsia"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4</w:t>
      </w:r>
      <w:r>
        <w:rPr>
          <w:rFonts w:hint="eastAsia" w:ascii="宋体" w:hAnsi="宋体"/>
          <w:color w:val="auto"/>
          <w:sz w:val="24"/>
          <w:szCs w:val="24"/>
          <w:highlight w:val="none"/>
        </w:rPr>
        <w:t xml:space="preserve">）合同专用条款；</w:t>
      </w:r>
      <w:r/>
    </w:p>
    <w:p>
      <w:pPr>
        <w:jc w:val="left"/>
        <w:rPr>
          <w:rFonts w:hint="eastAsia" w:ascii="宋体" w:hAnsi="宋体"/>
          <w:color w:val="auto"/>
          <w:sz w:val="24"/>
          <w:szCs w:val="24"/>
          <w:highlight w:val="none"/>
        </w:rPr>
      </w:pPr>
      <w:r>
        <w:rPr>
          <w:rFonts w:hint="eastAsia" w:ascii="宋体" w:hAnsi="宋体"/>
          <w:color w:val="auto"/>
          <w:sz w:val="24"/>
          <w:szCs w:val="24"/>
          <w:highlight w:val="none"/>
        </w:rPr>
        <w:t xml:space="preserve">（5）养护技术规范；</w:t>
      </w:r>
      <w:r/>
    </w:p>
    <w:p>
      <w:pPr>
        <w:jc w:val="left"/>
        <w:rPr>
          <w:rFonts w:hint="eastAsia" w:ascii="宋体" w:hAnsi="宋体"/>
          <w:color w:val="auto"/>
          <w:sz w:val="24"/>
          <w:szCs w:val="24"/>
          <w:highlight w:val="none"/>
        </w:rPr>
      </w:pPr>
      <w:r>
        <w:rPr>
          <w:rFonts w:hint="eastAsia" w:ascii="宋体" w:hAnsi="宋体"/>
          <w:color w:val="auto"/>
          <w:sz w:val="24"/>
          <w:szCs w:val="24"/>
          <w:highlight w:val="none"/>
        </w:rPr>
        <w:t xml:space="preserve">（6）乙方有关人员、设备投入的承诺及投标文件中的组织设计；</w:t>
      </w:r>
      <w:r/>
    </w:p>
    <w:p>
      <w:pPr>
        <w:jc w:val="left"/>
        <w:rPr>
          <w:rFonts w:hint="eastAsia" w:ascii="宋体" w:hAnsi="宋体"/>
          <w:color w:val="auto"/>
          <w:sz w:val="24"/>
          <w:szCs w:val="24"/>
          <w:highlight w:val="none"/>
        </w:rPr>
      </w:pPr>
      <w:r>
        <w:rPr>
          <w:rFonts w:hint="eastAsia" w:ascii="宋体" w:hAnsi="宋体"/>
          <w:color w:val="auto"/>
          <w:sz w:val="24"/>
          <w:szCs w:val="24"/>
          <w:highlight w:val="none"/>
        </w:rPr>
        <w:t xml:space="preserve">（7）其他合同文件。</w:t>
      </w:r>
      <w:r/>
    </w:p>
    <w:p>
      <w:pPr>
        <w:ind w:firstLine="480"/>
        <w:jc w:val="left"/>
        <w:rPr>
          <w:rFonts w:hint="eastAsia" w:ascii="宋体" w:hAnsi="宋体"/>
          <w:color w:val="auto"/>
          <w:sz w:val="24"/>
          <w:szCs w:val="24"/>
          <w:highlight w:val="none"/>
        </w:rPr>
      </w:pPr>
      <w:r>
        <w:rPr>
          <w:rFonts w:hint="eastAsia" w:ascii="宋体" w:hAnsi="宋体"/>
          <w:color w:val="auto"/>
          <w:sz w:val="24"/>
          <w:szCs w:val="24"/>
          <w:highlight w:val="none"/>
        </w:rPr>
        <w:t xml:space="preserve">上述合同文件互相补充和解释。如果合同文件之间存在矛盾或不一致之处，以上述文件的排列顺序在先者为准。</w:t>
      </w:r>
      <w:r/>
    </w:p>
    <w:p>
      <w:pPr>
        <w:jc w:val="left"/>
        <w:rPr>
          <w:rFonts w:hint="eastAsia" w:ascii="宋体" w:hAnsi="宋体"/>
          <w:color w:val="auto"/>
          <w:sz w:val="24"/>
          <w:szCs w:val="24"/>
          <w:highlight w:val="none"/>
        </w:rPr>
      </w:pPr>
      <w:r>
        <w:rPr>
          <w:rFonts w:ascii="宋体" w:hAnsi="宋体"/>
          <w:color w:val="auto"/>
          <w:sz w:val="24"/>
          <w:szCs w:val="24"/>
          <w:highlight w:val="none"/>
        </w:rPr>
        <w:t xml:space="preserve">3</w:t>
      </w:r>
      <w:r>
        <w:rPr>
          <w:rFonts w:hint="eastAsia" w:ascii="宋体" w:hAnsi="宋体"/>
          <w:color w:val="auto"/>
          <w:sz w:val="24"/>
          <w:szCs w:val="24"/>
          <w:highlight w:val="none"/>
        </w:rPr>
        <w:t xml:space="preserve">．根据招标文件及响应文件计算合同价：人民币（大写</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rPr>
          <w:rFonts w:ascii="宋体" w:hAnsi="宋体" w:cs="Calibri"/>
          <w:color w:val="auto"/>
          <w:sz w:val="24"/>
          <w:szCs w:val="24"/>
          <w:highlight w:val="none"/>
        </w:rPr>
        <w:t xml:space="preserve">¥</w:t>
      </w:r>
      <w:r>
        <w:rPr>
          <w:rFonts w:hint="eastAsia" w:ascii="宋体" w:hAnsi="宋体" w:cs="Calibri"/>
          <w:color w:val="auto"/>
          <w:sz w:val="24"/>
          <w:szCs w:val="24"/>
          <w:highlight w:val="none"/>
          <w:u w:val="single"/>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jc w:val="left"/>
        <w:rPr>
          <w:rFonts w:hint="eastAsia" w:ascii="宋体" w:hAnsi="宋体"/>
          <w:color w:val="auto"/>
          <w:sz w:val="24"/>
          <w:szCs w:val="24"/>
          <w:highlight w:val="none"/>
        </w:rPr>
      </w:pPr>
      <w:r>
        <w:rPr>
          <w:rFonts w:hint="eastAsia" w:ascii="宋体" w:hAnsi="宋体"/>
          <w:color w:val="auto"/>
          <w:sz w:val="24"/>
          <w:szCs w:val="24"/>
          <w:highlight w:val="none"/>
        </w:rPr>
        <w:t xml:space="preserve">4、养护期限：2026年1月1日至2026年12月31日（实际起止时间以合同约定为准)。缺陷责任期：</w:t>
      </w:r>
      <w:r>
        <w:rPr>
          <w:rFonts w:hint="eastAsia"/>
          <w:color w:val="auto"/>
          <w:highlight w:val="none"/>
        </w:rPr>
        <w:t xml:space="preserve">基价类无，单价类6个月</w:t>
      </w:r>
      <w:r>
        <w:rPr>
          <w:rFonts w:hint="eastAsia" w:ascii="宋体" w:hAnsi="宋体"/>
          <w:color w:val="auto"/>
          <w:sz w:val="24"/>
          <w:szCs w:val="24"/>
          <w:highlight w:val="none"/>
        </w:rPr>
        <w:t xml:space="preserve">。</w:t>
      </w:r>
      <w:r/>
    </w:p>
    <w:p>
      <w:pPr>
        <w:jc w:val="left"/>
        <w:rPr>
          <w:rFonts w:hint="eastAsia" w:ascii="宋体" w:hAnsi="宋体"/>
          <w:color w:val="auto"/>
          <w:sz w:val="24"/>
          <w:szCs w:val="24"/>
          <w:highlight w:val="none"/>
        </w:rPr>
      </w:pPr>
      <w:r>
        <w:rPr>
          <w:rFonts w:hint="eastAsia" w:ascii="宋体" w:hAnsi="宋体"/>
          <w:color w:val="auto"/>
          <w:sz w:val="24"/>
          <w:szCs w:val="24"/>
          <w:highlight w:val="none"/>
        </w:rPr>
        <w:t xml:space="preserve">5.计价结算及支付方式：</w:t>
      </w:r>
      <w:r/>
    </w:p>
    <w:p>
      <w:pPr>
        <w:jc w:val="left"/>
        <w:rPr>
          <w:rFonts w:hint="eastAsia" w:ascii="宋体" w:hAnsi="宋体"/>
          <w:color w:val="auto"/>
          <w:sz w:val="24"/>
          <w:szCs w:val="24"/>
          <w:highlight w:val="none"/>
        </w:rPr>
      </w:pPr>
      <w:r>
        <w:rPr>
          <w:rFonts w:hint="eastAsia" w:ascii="宋体" w:hAnsi="宋体"/>
          <w:color w:val="auto"/>
          <w:sz w:val="24"/>
          <w:szCs w:val="24"/>
          <w:highlight w:val="none"/>
        </w:rPr>
        <w:t xml:space="preserve">一、合同计价方式：采用基价类和单价类结合的方式。</w:t>
      </w:r>
      <w:r/>
    </w:p>
    <w:p>
      <w:pPr>
        <w:jc w:val="left"/>
        <w:rPr>
          <w:rFonts w:hint="eastAsia" w:ascii="宋体" w:hAnsi="宋体"/>
          <w:color w:val="auto"/>
          <w:sz w:val="24"/>
          <w:szCs w:val="24"/>
          <w:highlight w:val="none"/>
        </w:rPr>
      </w:pPr>
      <w:r>
        <w:rPr>
          <w:rFonts w:hint="eastAsia" w:ascii="宋体" w:hAnsi="宋体"/>
          <w:color w:val="auto"/>
          <w:sz w:val="24"/>
          <w:szCs w:val="24"/>
          <w:highlight w:val="none"/>
        </w:rPr>
        <w:t xml:space="preserve">二、项目工程量变更的约定：</w:t>
      </w:r>
      <w:r/>
    </w:p>
    <w:p>
      <w:pPr>
        <w:jc w:val="left"/>
        <w:rPr>
          <w:rFonts w:hint="eastAsia" w:ascii="宋体" w:hAnsi="宋体"/>
          <w:color w:val="auto"/>
          <w:sz w:val="24"/>
          <w:szCs w:val="24"/>
          <w:highlight w:val="none"/>
        </w:rPr>
      </w:pPr>
      <w:r>
        <w:rPr>
          <w:rFonts w:hint="eastAsia" w:ascii="宋体" w:hAnsi="宋体"/>
          <w:color w:val="auto"/>
          <w:sz w:val="24"/>
          <w:szCs w:val="24"/>
          <w:highlight w:val="none"/>
        </w:rPr>
        <w:t xml:space="preserve">（1）变更范围：1.增加或减少合同中所包括的任何工程的数量；2.省略任何这类工作（但被省略的工作由发包人或其他承包人实施者除外）；3.改变任何这类工作的性质或质量或类型；4、改变工程任何部分的标高、基线、位置和尺寸。</w:t>
      </w:r>
      <w:r/>
    </w:p>
    <w:p>
      <w:pPr>
        <w:jc w:val="left"/>
        <w:rPr>
          <w:rFonts w:hint="eastAsia" w:ascii="宋体" w:hAnsi="宋体"/>
          <w:color w:val="auto"/>
          <w:sz w:val="24"/>
          <w:szCs w:val="24"/>
          <w:highlight w:val="none"/>
        </w:rPr>
      </w:pPr>
      <w:r>
        <w:rPr>
          <w:rFonts w:hint="eastAsia" w:ascii="宋体" w:hAnsi="宋体"/>
          <w:color w:val="auto"/>
          <w:sz w:val="24"/>
          <w:szCs w:val="24"/>
          <w:highlight w:val="none"/>
        </w:rPr>
        <w:t xml:space="preserve">（2）发包人认为适当的所有变更，应以合同中规定的单价进行计价。如合同中未包括适用于该变更工作的单价，则应在合理的范围内使用合同中的其他基础单价作为计价的基础。如工程数量的变更导致合同金额减少，不论减少程度有多大，承包人都不得向发包人提出费用补偿。</w:t>
      </w:r>
      <w:r/>
    </w:p>
    <w:p>
      <w:pPr>
        <w:jc w:val="left"/>
        <w:rPr>
          <w:rFonts w:hint="eastAsia" w:ascii="宋体" w:hAnsi="宋体"/>
          <w:color w:val="auto"/>
          <w:sz w:val="24"/>
          <w:szCs w:val="24"/>
          <w:highlight w:val="none"/>
        </w:rPr>
      </w:pPr>
      <w:r>
        <w:rPr>
          <w:rFonts w:hint="eastAsia" w:ascii="宋体" w:hAnsi="宋体"/>
          <w:color w:val="auto"/>
          <w:sz w:val="24"/>
          <w:szCs w:val="24"/>
          <w:highlight w:val="none"/>
        </w:rPr>
        <w:t xml:space="preserve">三、结算支付：采用基价类和单价类结合的方式，本项目采用月度计量，季度支付。本项目签订合同后</w:t>
      </w:r>
      <w:r>
        <w:rPr>
          <w:rFonts w:ascii="宋体" w:hAnsi="宋体"/>
          <w:color w:val="auto"/>
          <w:sz w:val="24"/>
          <w:szCs w:val="24"/>
          <w:highlight w:val="none"/>
        </w:rPr>
        <w:t xml:space="preserve">14</w:t>
      </w:r>
      <w:r>
        <w:rPr>
          <w:rFonts w:hint="eastAsia" w:ascii="宋体" w:hAnsi="宋体"/>
          <w:color w:val="auto"/>
          <w:sz w:val="24"/>
          <w:szCs w:val="24"/>
          <w:highlight w:val="none"/>
        </w:rPr>
        <w:t xml:space="preserve">个工作日内支付合同金额的10%预付款，预付款在前两次支付中等额扣回。</w:t>
      </w:r>
      <w:r/>
    </w:p>
    <w:p>
      <w:pPr>
        <w:jc w:val="left"/>
        <w:rPr>
          <w:rFonts w:hint="eastAsia" w:ascii="宋体" w:hAnsi="宋体"/>
          <w:color w:val="auto"/>
          <w:sz w:val="24"/>
          <w:szCs w:val="24"/>
          <w:highlight w:val="none"/>
        </w:rPr>
      </w:pPr>
      <w:r>
        <w:rPr>
          <w:rFonts w:hint="eastAsia" w:ascii="宋体" w:hAnsi="宋体"/>
          <w:color w:val="auto"/>
          <w:sz w:val="24"/>
          <w:szCs w:val="24"/>
          <w:highlight w:val="none"/>
        </w:rPr>
        <w:t xml:space="preserve">每三个月进行支付一次，最后按实际月份进行支付，每次支付金额为当期计量款的90%。供应商需在付款周期结束前的五个工作日内将清单及发票递交至采购单位核实并申请付款。</w:t>
      </w:r>
      <w:r/>
    </w:p>
    <w:p>
      <w:pPr>
        <w:jc w:val="left"/>
        <w:rPr>
          <w:rFonts w:hint="eastAsia" w:ascii="宋体" w:hAnsi="宋体"/>
          <w:color w:val="auto"/>
          <w:sz w:val="24"/>
          <w:szCs w:val="24"/>
          <w:highlight w:val="none"/>
        </w:rPr>
      </w:pPr>
      <w:r>
        <w:rPr>
          <w:rFonts w:hint="eastAsia" w:ascii="宋体" w:hAnsi="宋体"/>
          <w:color w:val="auto"/>
          <w:sz w:val="24"/>
          <w:szCs w:val="24"/>
          <w:highlight w:val="none"/>
        </w:rPr>
        <w:t xml:space="preserve">6．乙方项目经理：</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jc w:val="left"/>
        <w:rPr>
          <w:rFonts w:hint="eastAsia" w:ascii="宋体" w:hAnsi="宋体"/>
          <w:color w:val="auto"/>
          <w:sz w:val="24"/>
          <w:szCs w:val="24"/>
          <w:highlight w:val="none"/>
        </w:rPr>
      </w:pPr>
      <w:r>
        <w:rPr>
          <w:rFonts w:hint="eastAsia" w:ascii="宋体" w:hAnsi="宋体"/>
          <w:color w:val="auto"/>
          <w:sz w:val="24"/>
          <w:szCs w:val="24"/>
          <w:highlight w:val="none"/>
        </w:rPr>
        <w:t xml:space="preserve">7．质量符合：养护达到《公路养护技术规范》等相关技术规范所要求的养护标准；小修保养：交工验收的质量等级合格。安全目标：无安全责任事故。</w:t>
      </w:r>
      <w:r/>
    </w:p>
    <w:p>
      <w:pPr>
        <w:jc w:val="left"/>
        <w:rPr>
          <w:rFonts w:hint="eastAsia" w:ascii="宋体" w:hAnsi="宋体"/>
          <w:color w:val="auto"/>
          <w:sz w:val="24"/>
          <w:szCs w:val="24"/>
          <w:highlight w:val="none"/>
        </w:rPr>
      </w:pPr>
      <w:r>
        <w:rPr>
          <w:rFonts w:hint="eastAsia" w:ascii="宋体" w:hAnsi="宋体"/>
          <w:color w:val="auto"/>
          <w:sz w:val="24"/>
          <w:szCs w:val="24"/>
          <w:highlight w:val="none"/>
        </w:rPr>
        <w:t xml:space="preserve">8.乙方承诺按合同约定承担项目的实施、完成及缺陷修复。主要内容包括日常巡查、道路日常养护、桥梁日常养护、路面保洁（人员配合机械保洁类）、绿化日常养护、绿化补植、桥涵构造物维修维护及经常性检查、标志标线等安保设施维修维护、应急抢修、突发道路事件处置、防汛防台抗早、冬防、系统维护、交通量调查、路网运维、专项活动、专项维修等及采购人指令的其他工作内容（以工程量清单为准）。</w:t>
      </w:r>
      <w:r/>
    </w:p>
    <w:p>
      <w:pPr>
        <w:jc w:val="left"/>
        <w:rPr>
          <w:rFonts w:hint="eastAsia" w:ascii="宋体" w:hAnsi="宋体"/>
          <w:color w:val="auto"/>
          <w:sz w:val="24"/>
          <w:szCs w:val="24"/>
          <w:highlight w:val="none"/>
        </w:rPr>
      </w:pPr>
      <w:r>
        <w:rPr>
          <w:rFonts w:hint="eastAsia" w:ascii="宋体" w:hAnsi="宋体"/>
          <w:color w:val="auto"/>
          <w:sz w:val="24"/>
          <w:szCs w:val="24"/>
          <w:highlight w:val="none"/>
        </w:rPr>
        <w:t xml:space="preserve">9.农民工工资保证金：乙方必须按照现行国家、省、市相关规定的要求，缴纳民工工资保证金，建立农民工工资专用账户，实行农民工实名制管理，按月足额支付农民工工资。</w:t>
      </w:r>
      <w:r/>
    </w:p>
    <w:p>
      <w:pPr>
        <w:jc w:val="left"/>
        <w:rPr>
          <w:rFonts w:hint="eastAsia" w:ascii="宋体" w:hAnsi="宋体"/>
          <w:color w:val="auto"/>
          <w:sz w:val="24"/>
          <w:szCs w:val="24"/>
          <w:highlight w:val="none"/>
        </w:rPr>
      </w:pPr>
      <w:r>
        <w:rPr>
          <w:rFonts w:hint="eastAsia" w:ascii="宋体" w:hAnsi="宋体"/>
          <w:color w:val="auto"/>
          <w:sz w:val="24"/>
          <w:szCs w:val="24"/>
          <w:highlight w:val="none"/>
        </w:rPr>
        <w:t xml:space="preserve">10．甲方承诺按合同约定的条件、时间和方式向乙方支付合同价款。</w:t>
      </w:r>
      <w:r/>
    </w:p>
    <w:p>
      <w:pPr>
        <w:jc w:val="left"/>
        <w:rPr>
          <w:rFonts w:hint="eastAsia" w:ascii="宋体" w:hAnsi="宋体"/>
          <w:color w:val="auto"/>
          <w:sz w:val="24"/>
          <w:szCs w:val="24"/>
          <w:highlight w:val="none"/>
        </w:rPr>
      </w:pPr>
      <w:r>
        <w:rPr>
          <w:rFonts w:hint="eastAsia" w:ascii="宋体" w:hAnsi="宋体"/>
          <w:color w:val="auto"/>
          <w:sz w:val="24"/>
          <w:szCs w:val="24"/>
          <w:highlight w:val="none"/>
        </w:rPr>
        <w:t xml:space="preserve">11．本协议书在乙方提供履约保证金后，由双方法定代表人或其委托代理人签署并加盖单位章后生效。</w:t>
      </w:r>
      <w:r/>
    </w:p>
    <w:p>
      <w:pPr>
        <w:jc w:val="left"/>
        <w:rPr>
          <w:rFonts w:hint="eastAsia"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2．本协议书正本二份、副本四份，合同双方各执正本一份，副本二份，当正本与副本的内容不一致时，以正本为准。</w:t>
      </w:r>
      <w:r/>
    </w:p>
    <w:p>
      <w:pPr>
        <w:jc w:val="left"/>
        <w:rPr>
          <w:rFonts w:hint="eastAsia"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3．合同未尽事宜，双方另行签订补充协议。补充协议是合同的组成部分。</w:t>
      </w:r>
      <w:r/>
    </w:p>
    <w:p>
      <w:pPr>
        <w:jc w:val="left"/>
        <w:rPr>
          <w:rFonts w:hint="eastAsia" w:ascii="宋体" w:hAnsi="宋体"/>
          <w:color w:val="auto"/>
          <w:sz w:val="24"/>
          <w:szCs w:val="24"/>
          <w:highlight w:val="none"/>
        </w:rPr>
      </w:pPr>
      <w:r>
        <w:rPr>
          <w:rFonts w:hint="eastAsia" w:ascii="宋体" w:hAnsi="宋体"/>
          <w:color w:val="auto"/>
          <w:sz w:val="24"/>
          <w:szCs w:val="24"/>
          <w:highlight w:val="none"/>
        </w:rPr>
      </w:r>
      <w:r/>
    </w:p>
    <w:p>
      <w:pPr>
        <w:pStyle w:val="817"/>
        <w:rPr>
          <w:rFonts w:hint="eastAsia"/>
          <w:color w:val="auto"/>
          <w:sz w:val="24"/>
          <w:szCs w:val="24"/>
          <w:highlight w:val="none"/>
        </w:rPr>
      </w:pPr>
      <w:r>
        <w:rPr>
          <w:rFonts w:hint="eastAsia"/>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jc w:val="left"/>
        <w:rPr>
          <w:rFonts w:hint="eastAsia" w:ascii="宋体" w:hAnsi="宋体"/>
          <w:color w:val="auto"/>
          <w:sz w:val="24"/>
          <w:szCs w:val="24"/>
          <w:highlight w:val="none"/>
        </w:rPr>
      </w:pPr>
      <w:r>
        <w:rPr>
          <w:rFonts w:hint="eastAsia" w:ascii="宋体" w:hAnsi="宋体"/>
          <w:color w:val="auto"/>
          <w:sz w:val="24"/>
          <w:szCs w:val="24"/>
          <w:highlight w:val="none"/>
        </w:rPr>
        <w:t xml:space="preserve">甲方：</w:t>
      </w:r>
      <w:r>
        <w:rPr>
          <w:rFonts w:ascii="宋体" w:hAnsi="宋体"/>
          <w:color w:val="auto"/>
          <w:sz w:val="24"/>
          <w:szCs w:val="24"/>
          <w:highlight w:val="none"/>
        </w:rPr>
        <w:t xml:space="preserve"> </w:t>
      </w:r>
      <w:r>
        <w:rPr>
          <w:rFonts w:hint="eastAsia" w:ascii="宋体" w:hAnsi="宋体"/>
          <w:color w:val="auto"/>
          <w:sz w:val="24"/>
          <w:szCs w:val="24"/>
          <w:highlight w:val="none"/>
        </w:rPr>
        <w:t xml:space="preserve">（盖单位章）</w:t>
      </w:r>
      <w:r>
        <w:rPr>
          <w:rFonts w:ascii="宋体" w:hAnsi="宋体"/>
          <w:color w:val="auto"/>
          <w:sz w:val="24"/>
          <w:szCs w:val="24"/>
          <w:highlight w:val="none"/>
        </w:rPr>
        <w:t xml:space="preserve"> </w:t>
      </w:r>
      <w:r>
        <w:rPr>
          <w:rFonts w:hint="eastAsia" w:ascii="宋体" w:hAnsi="宋体"/>
          <w:color w:val="auto"/>
          <w:sz w:val="24"/>
          <w:szCs w:val="24"/>
          <w:highlight w:val="none"/>
        </w:rPr>
        <w:t xml:space="preserve">                  乙方：</w:t>
      </w:r>
      <w:r>
        <w:rPr>
          <w:rFonts w:ascii="宋体" w:hAnsi="宋体"/>
          <w:color w:val="auto"/>
          <w:sz w:val="24"/>
          <w:szCs w:val="24"/>
          <w:highlight w:val="none"/>
        </w:rPr>
        <w:t xml:space="preserve"> </w:t>
      </w:r>
      <w:r>
        <w:rPr>
          <w:rFonts w:hint="eastAsia" w:ascii="宋体" w:hAnsi="宋体"/>
          <w:color w:val="auto"/>
          <w:sz w:val="24"/>
          <w:szCs w:val="24"/>
          <w:highlight w:val="none"/>
        </w:rPr>
        <w:t xml:space="preserve">（盖单位章）</w:t>
      </w:r>
      <w:r/>
    </w:p>
    <w:p>
      <w:pPr>
        <w:jc w:val="left"/>
        <w:rPr>
          <w:rFonts w:hint="eastAsia" w:ascii="宋体" w:hAnsi="宋体"/>
          <w:color w:val="auto"/>
          <w:sz w:val="24"/>
          <w:szCs w:val="24"/>
          <w:highlight w:val="none"/>
        </w:rPr>
      </w:pPr>
      <w:r>
        <w:rPr>
          <w:rFonts w:hint="eastAsia" w:ascii="宋体" w:hAnsi="宋体"/>
          <w:color w:val="auto"/>
          <w:sz w:val="24"/>
          <w:szCs w:val="24"/>
          <w:highlight w:val="none"/>
        </w:rPr>
        <w:t xml:space="preserve">法定代表人或其委托代理人：</w:t>
      </w:r>
      <w:r>
        <w:rPr>
          <w:rFonts w:ascii="宋体" w:hAnsi="宋体"/>
          <w:color w:val="auto"/>
          <w:sz w:val="24"/>
          <w:szCs w:val="24"/>
          <w:highlight w:val="none"/>
        </w:rPr>
        <w:t xml:space="preserve"> </w:t>
      </w:r>
      <w:r>
        <w:rPr>
          <w:rFonts w:hint="eastAsia" w:ascii="宋体" w:hAnsi="宋体"/>
          <w:color w:val="auto"/>
          <w:sz w:val="24"/>
          <w:szCs w:val="24"/>
          <w:highlight w:val="none"/>
        </w:rPr>
        <w:t xml:space="preserve">           法定代表人或其委托代理人：</w:t>
      </w:r>
      <w:r/>
    </w:p>
    <w:p>
      <w:pPr>
        <w:jc w:val="left"/>
        <w:rPr>
          <w:rFonts w:hint="eastAsia" w:ascii="宋体" w:hAnsi="宋体"/>
          <w:color w:val="auto"/>
          <w:sz w:val="24"/>
          <w:szCs w:val="24"/>
          <w:highlight w:val="none"/>
        </w:rPr>
      </w:pPr>
      <w:r>
        <w:rPr>
          <w:rFonts w:hint="eastAsia" w:ascii="宋体" w:hAnsi="宋体"/>
          <w:color w:val="auto"/>
          <w:sz w:val="24"/>
          <w:szCs w:val="24"/>
          <w:highlight w:val="none"/>
        </w:rPr>
        <w:t xml:space="preserve">（签字或盖章）                       （签字或盖章）</w:t>
      </w:r>
      <w:r/>
    </w:p>
    <w:p>
      <w:pPr>
        <w:ind w:firstLine="192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年</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月</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日</w:t>
      </w:r>
      <w:r>
        <w:rPr>
          <w:rFonts w:ascii="宋体" w:hAnsi="宋体"/>
          <w:color w:val="auto"/>
          <w:sz w:val="24"/>
          <w:szCs w:val="24"/>
          <w:highlight w:val="none"/>
        </w:rPr>
        <w:t xml:space="preserve"> </w:t>
      </w:r>
      <w:r>
        <w:rPr>
          <w:rFonts w:hint="eastAsia" w:ascii="宋体" w:hAnsi="宋体"/>
          <w:color w:val="auto"/>
          <w:sz w:val="24"/>
          <w:szCs w:val="24"/>
          <w:highlight w:val="none"/>
        </w:rPr>
        <w:t xml:space="preserve">                           年</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月</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日</w:t>
      </w:r>
      <w:r/>
    </w:p>
    <w:p>
      <w:pPr>
        <w:ind w:firstLine="192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192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192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192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192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192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192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192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rPr>
          <w:rStyle w:val="847"/>
          <w:rFonts w:hint="eastAsia"/>
          <w:color w:val="auto"/>
          <w:lang w:val="zh-CN"/>
        </w:rPr>
      </w:pPr>
      <w:r>
        <w:rPr>
          <w:rFonts w:ascii="宋体" w:hAnsi="宋体"/>
          <w:color w:val="auto"/>
          <w:sz w:val="24"/>
          <w:szCs w:val="24"/>
          <w:highlight w:val="none"/>
        </w:rPr>
        <mc:AlternateContent>
          <mc:Choice Requires="wpg">
            <w:drawing>
              <wp:inline xmlns:wp="http://schemas.openxmlformats.org/drawingml/2006/wordprocessingDrawing" distT="0" distB="0" distL="0" distR="0">
                <wp:extent cx="6162675" cy="8758555"/>
                <wp:effectExtent l="0" t="0" r="9525" b="4445"/>
                <wp:docPr id="3"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3"/>
                        <a:stretch/>
                      </pic:blipFill>
                      <pic:spPr bwMode="auto">
                        <a:xfrm>
                          <a:off x="0" y="0"/>
                          <a:ext cx="6162675" cy="87585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85.2pt;height:689.6pt;mso-wrap-distance-left:0.0pt;mso-wrap-distance-top:0.0pt;mso-wrap-distance-right:0.0pt;mso-wrap-distance-bottom:0.0pt;" stroked="f">
                <v:path textboxrect="0,0,0,0"/>
                <v:imagedata r:id="rId13" o:title=""/>
              </v:shape>
            </w:pict>
          </mc:Fallback>
        </mc:AlternateContent>
      </w:r>
      <w:r>
        <w:rPr>
          <w:rFonts w:ascii="宋体" w:hAnsi="宋体"/>
          <w:color w:val="auto"/>
          <w:sz w:val="24"/>
          <w:szCs w:val="24"/>
          <w:highlight w:val="none"/>
        </w:rPr>
        <mc:AlternateContent>
          <mc:Choice Requires="wpg">
            <w:drawing>
              <wp:inline xmlns:wp="http://schemas.openxmlformats.org/drawingml/2006/wordprocessingDrawing" distT="0" distB="0" distL="0" distR="0">
                <wp:extent cx="6162675" cy="8758555"/>
                <wp:effectExtent l="0" t="0" r="9525" b="4445"/>
                <wp:docPr id="4"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4"/>
                        <a:stretch/>
                      </pic:blipFill>
                      <pic:spPr bwMode="auto">
                        <a:xfrm>
                          <a:off x="0" y="0"/>
                          <a:ext cx="6162675" cy="87585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85.2pt;height:689.6pt;mso-wrap-distance-left:0.0pt;mso-wrap-distance-top:0.0pt;mso-wrap-distance-right:0.0pt;mso-wrap-distance-bottom:0.0pt;" stroked="f">
                <v:path textboxrect="0,0,0,0"/>
                <v:imagedata r:id="rId14" o:title=""/>
              </v:shape>
            </w:pict>
          </mc:Fallback>
        </mc:AlternateContent>
      </w:r>
      <w:r>
        <w:rPr>
          <w:rFonts w:ascii="宋体" w:hAnsi="宋体"/>
          <w:color w:val="auto"/>
          <w:sz w:val="24"/>
          <w:szCs w:val="24"/>
          <w:highlight w:val="none"/>
        </w:rPr>
        <mc:AlternateContent>
          <mc:Choice Requires="wpg">
            <w:drawing>
              <wp:inline xmlns:wp="http://schemas.openxmlformats.org/drawingml/2006/wordprocessingDrawing" distT="0" distB="0" distL="0" distR="0">
                <wp:extent cx="6162675" cy="8758555"/>
                <wp:effectExtent l="0" t="0" r="9525" b="4445"/>
                <wp:docPr id="5"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5"/>
                        <a:stretch/>
                      </pic:blipFill>
                      <pic:spPr bwMode="auto">
                        <a:xfrm>
                          <a:off x="0" y="0"/>
                          <a:ext cx="6162675" cy="87585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85.2pt;height:689.6pt;mso-wrap-distance-left:0.0pt;mso-wrap-distance-top:0.0pt;mso-wrap-distance-right:0.0pt;mso-wrap-distance-bottom:0.0pt;" stroked="f">
                <v:path textboxrect="0,0,0,0"/>
                <v:imagedata r:id="rId15" o:title=""/>
              </v:shape>
            </w:pict>
          </mc:Fallback>
        </mc:AlternateContent>
      </w:r>
      <w:r>
        <w:rPr>
          <w:rFonts w:ascii="宋体" w:hAnsi="宋体"/>
          <w:color w:val="auto"/>
          <w:sz w:val="24"/>
          <w:szCs w:val="24"/>
          <w:highlight w:val="none"/>
        </w:rPr>
        <mc:AlternateContent>
          <mc:Choice Requires="wpg">
            <w:drawing>
              <wp:inline xmlns:wp="http://schemas.openxmlformats.org/drawingml/2006/wordprocessingDrawing" distT="0" distB="0" distL="0" distR="0">
                <wp:extent cx="6162675" cy="8758555"/>
                <wp:effectExtent l="0" t="0" r="9525" b="4445"/>
                <wp:docPr id="6"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6"/>
                        <a:stretch/>
                      </pic:blipFill>
                      <pic:spPr bwMode="auto">
                        <a:xfrm>
                          <a:off x="0" y="0"/>
                          <a:ext cx="6162675" cy="875855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85.2pt;height:689.6pt;mso-wrap-distance-left:0.0pt;mso-wrap-distance-top:0.0pt;mso-wrap-distance-right:0.0pt;mso-wrap-distance-bottom:0.0pt;" stroked="f">
                <v:path textboxrect="0,0,0,0"/>
                <v:imagedata r:id="rId16" o:title=""/>
              </v:shape>
            </w:pict>
          </mc:Fallback>
        </mc:AlternateContent>
      </w:r>
      <w:r>
        <w:rPr>
          <w:rFonts w:ascii="宋体" w:hAnsi="宋体"/>
          <w:color w:val="auto"/>
          <w:sz w:val="24"/>
          <w:szCs w:val="24"/>
          <w:highlight w:val="none"/>
        </w:rPr>
        <mc:AlternateContent>
          <mc:Choice Requires="wpg">
            <w:drawing>
              <wp:inline xmlns:wp="http://schemas.openxmlformats.org/drawingml/2006/wordprocessingDrawing" distT="0" distB="0" distL="0" distR="0">
                <wp:extent cx="6162675" cy="8758555"/>
                <wp:effectExtent l="0" t="0" r="9525" b="4445"/>
                <wp:docPr id="7"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7"/>
                        <a:stretch/>
                      </pic:blipFill>
                      <pic:spPr bwMode="auto">
                        <a:xfrm>
                          <a:off x="0" y="0"/>
                          <a:ext cx="6162675" cy="87585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85.2pt;height:689.6pt;mso-wrap-distance-left:0.0pt;mso-wrap-distance-top:0.0pt;mso-wrap-distance-right:0.0pt;mso-wrap-distance-bottom:0.0pt;" stroked="f">
                <v:path textboxrect="0,0,0,0"/>
                <v:imagedata r:id="rId17" o:title=""/>
              </v:shape>
            </w:pict>
          </mc:Fallback>
        </mc:AlternateContent>
      </w:r>
      <w:r>
        <w:rPr>
          <w:rFonts w:ascii="宋体" w:hAnsi="宋体"/>
          <w:color w:val="auto"/>
          <w:sz w:val="24"/>
          <w:szCs w:val="24"/>
          <w:highlight w:val="none"/>
        </w:rPr>
        <mc:AlternateContent>
          <mc:Choice Requires="wpg">
            <w:drawing>
              <wp:inline xmlns:wp="http://schemas.openxmlformats.org/drawingml/2006/wordprocessingDrawing" distT="0" distB="0" distL="0" distR="0">
                <wp:extent cx="6162675" cy="8758555"/>
                <wp:effectExtent l="0" t="0" r="9525" b="4445"/>
                <wp:docPr id="8"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18"/>
                        <a:stretch/>
                      </pic:blipFill>
                      <pic:spPr bwMode="auto">
                        <a:xfrm>
                          <a:off x="0" y="0"/>
                          <a:ext cx="6162675" cy="87585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85.2pt;height:689.6pt;mso-wrap-distance-left:0.0pt;mso-wrap-distance-top:0.0pt;mso-wrap-distance-right:0.0pt;mso-wrap-distance-bottom:0.0pt;" stroked="f">
                <v:path textboxrect="0,0,0,0"/>
                <v:imagedata r:id="rId18" o:title=""/>
              </v:shape>
            </w:pict>
          </mc:Fallback>
        </mc:AlternateContent>
      </w:r>
      <w:r>
        <w:rPr>
          <w:rFonts w:ascii="宋体" w:hAnsi="宋体"/>
          <w:color w:val="auto"/>
          <w:sz w:val="24"/>
          <w:szCs w:val="24"/>
          <w:highlight w:val="none"/>
        </w:rPr>
        <mc:AlternateContent>
          <mc:Choice Requires="wpg">
            <w:drawing>
              <wp:inline xmlns:wp="http://schemas.openxmlformats.org/drawingml/2006/wordprocessingDrawing" distT="0" distB="0" distL="0" distR="0">
                <wp:extent cx="6162675" cy="8758555"/>
                <wp:effectExtent l="0" t="0" r="9525" b="4445"/>
                <wp:docPr id="9" name="图片 7"/>
                <wp:cNvGraphicFramePr/>
                <a:graphic xmlns:a="http://schemas.openxmlformats.org/drawingml/2006/main">
                  <a:graphicData uri="http://schemas.openxmlformats.org/drawingml/2006/picture">
                    <pic:pic xmlns:pic="http://schemas.openxmlformats.org/drawingml/2006/picture">
                      <pic:nvPicPr>
                        <pic:cNvPr id="7" name="图片 7"/>
                        <pic:cNvPicPr/>
                        <pic:nvPr/>
                      </pic:nvPicPr>
                      <pic:blipFill>
                        <a:blip r:embed="rId19"/>
                        <a:stretch/>
                      </pic:blipFill>
                      <pic:spPr bwMode="auto">
                        <a:xfrm>
                          <a:off x="0" y="0"/>
                          <a:ext cx="6162675" cy="87585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85.2pt;height:689.6pt;mso-wrap-distance-left:0.0pt;mso-wrap-distance-top:0.0pt;mso-wrap-distance-right:0.0pt;mso-wrap-distance-bottom:0.0pt;" stroked="f">
                <v:path textboxrect="0,0,0,0"/>
                <v:imagedata r:id="rId19" o:title=""/>
              </v:shape>
            </w:pict>
          </mc:Fallback>
        </mc:AlternateContent>
      </w:r>
      <w:r>
        <w:rPr>
          <w:rFonts w:ascii="宋体" w:hAnsi="宋体"/>
          <w:color w:val="auto"/>
          <w:sz w:val="24"/>
          <w:szCs w:val="24"/>
          <w:highlight w:val="none"/>
        </w:rPr>
        <mc:AlternateContent>
          <mc:Choice Requires="wpg">
            <w:drawing>
              <wp:inline xmlns:wp="http://schemas.openxmlformats.org/drawingml/2006/wordprocessingDrawing" distT="0" distB="0" distL="0" distR="0">
                <wp:extent cx="6162675" cy="8758555"/>
                <wp:effectExtent l="0" t="0" r="9525" b="4445"/>
                <wp:docPr id="10" name="图片 8"/>
                <wp:cNvGraphicFramePr/>
                <a:graphic xmlns:a="http://schemas.openxmlformats.org/drawingml/2006/main">
                  <a:graphicData uri="http://schemas.openxmlformats.org/drawingml/2006/picture">
                    <pic:pic xmlns:pic="http://schemas.openxmlformats.org/drawingml/2006/picture">
                      <pic:nvPicPr>
                        <pic:cNvPr id="8" name="图片 8"/>
                        <pic:cNvPicPr/>
                        <pic:nvPr/>
                      </pic:nvPicPr>
                      <pic:blipFill>
                        <a:blip r:embed="rId20"/>
                        <a:stretch/>
                      </pic:blipFill>
                      <pic:spPr bwMode="auto">
                        <a:xfrm>
                          <a:off x="0" y="0"/>
                          <a:ext cx="6162675" cy="87585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85.2pt;height:689.6pt;mso-wrap-distance-left:0.0pt;mso-wrap-distance-top:0.0pt;mso-wrap-distance-right:0.0pt;mso-wrap-distance-bottom:0.0pt;" stroked="f">
                <v:path textboxrect="0,0,0,0"/>
                <v:imagedata r:id="rId20" o:title=""/>
              </v:shape>
            </w:pict>
          </mc:Fallback>
        </mc:AlternateContent>
      </w:r>
      <w:r>
        <w:rPr>
          <w:rFonts w:ascii="宋体" w:hAnsi="宋体"/>
          <w:color w:val="auto"/>
          <w:sz w:val="24"/>
          <w:szCs w:val="24"/>
          <w:highlight w:val="none"/>
        </w:rPr>
        <mc:AlternateContent>
          <mc:Choice Requires="wpg">
            <w:drawing>
              <wp:inline xmlns:wp="http://schemas.openxmlformats.org/drawingml/2006/wordprocessingDrawing" distT="0" distB="0" distL="0" distR="0">
                <wp:extent cx="6162675" cy="8758555"/>
                <wp:effectExtent l="0" t="0" r="9525" b="4445"/>
                <wp:docPr id="11" name="图片 9"/>
                <wp:cNvGraphicFramePr/>
                <a:graphic xmlns:a="http://schemas.openxmlformats.org/drawingml/2006/main">
                  <a:graphicData uri="http://schemas.openxmlformats.org/drawingml/2006/picture">
                    <pic:pic xmlns:pic="http://schemas.openxmlformats.org/drawingml/2006/picture">
                      <pic:nvPicPr>
                        <pic:cNvPr id="9" name="图片 9"/>
                        <pic:cNvPicPr/>
                        <pic:nvPr/>
                      </pic:nvPicPr>
                      <pic:blipFill>
                        <a:blip r:embed="rId21"/>
                        <a:stretch/>
                      </pic:blipFill>
                      <pic:spPr bwMode="auto">
                        <a:xfrm>
                          <a:off x="0" y="0"/>
                          <a:ext cx="6162675" cy="87585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85.2pt;height:689.6pt;mso-wrap-distance-left:0.0pt;mso-wrap-distance-top:0.0pt;mso-wrap-distance-right:0.0pt;mso-wrap-distance-bottom:0.0pt;" stroked="f">
                <v:path textboxrect="0,0,0,0"/>
                <v:imagedata r:id="rId21" o:title=""/>
              </v:shape>
            </w:pict>
          </mc:Fallback>
        </mc:AlternateContent>
      </w:r>
      <w:r>
        <w:rPr>
          <w:rFonts w:ascii="宋体" w:hAnsi="宋体"/>
          <w:color w:val="auto"/>
          <w:sz w:val="24"/>
          <w:szCs w:val="24"/>
          <w:highlight w:val="none"/>
        </w:rPr>
        <mc:AlternateContent>
          <mc:Choice Requires="wpg">
            <w:drawing>
              <wp:inline xmlns:wp="http://schemas.openxmlformats.org/drawingml/2006/wordprocessingDrawing" distT="0" distB="0" distL="0" distR="0">
                <wp:extent cx="6162675" cy="8758555"/>
                <wp:effectExtent l="0" t="0" r="9525" b="4445"/>
                <wp:docPr id="12" name="图片 10"/>
                <wp:cNvGraphicFramePr/>
                <a:graphic xmlns:a="http://schemas.openxmlformats.org/drawingml/2006/main">
                  <a:graphicData uri="http://schemas.openxmlformats.org/drawingml/2006/picture">
                    <pic:pic xmlns:pic="http://schemas.openxmlformats.org/drawingml/2006/picture">
                      <pic:nvPicPr>
                        <pic:cNvPr id="10" name="图片 10"/>
                        <pic:cNvPicPr/>
                        <pic:nvPr/>
                      </pic:nvPicPr>
                      <pic:blipFill>
                        <a:blip r:embed="rId22"/>
                        <a:stretch/>
                      </pic:blipFill>
                      <pic:spPr bwMode="auto">
                        <a:xfrm>
                          <a:off x="0" y="0"/>
                          <a:ext cx="6162675" cy="87585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85.2pt;height:689.6pt;mso-wrap-distance-left:0.0pt;mso-wrap-distance-top:0.0pt;mso-wrap-distance-right:0.0pt;mso-wrap-distance-bottom:0.0pt;" stroked="f">
                <v:path textboxrect="0,0,0,0"/>
                <v:imagedata r:id="rId22" o:title=""/>
              </v:shape>
            </w:pict>
          </mc:Fallback>
        </mc:AlternateContent>
      </w:r>
      <w:r>
        <w:rPr>
          <w:rFonts w:ascii="宋体" w:hAnsi="宋体"/>
          <w:color w:val="auto"/>
          <w:sz w:val="24"/>
          <w:szCs w:val="24"/>
          <w:highlight w:val="none"/>
        </w:rPr>
        <mc:AlternateContent>
          <mc:Choice Requires="wpg">
            <w:drawing>
              <wp:inline xmlns:wp="http://schemas.openxmlformats.org/drawingml/2006/wordprocessingDrawing" distT="0" distB="0" distL="0" distR="0">
                <wp:extent cx="6162675" cy="8758555"/>
                <wp:effectExtent l="0" t="0" r="9525" b="4445"/>
                <wp:docPr id="13" name="图片 11"/>
                <wp:cNvGraphicFramePr/>
                <a:graphic xmlns:a="http://schemas.openxmlformats.org/drawingml/2006/main">
                  <a:graphicData uri="http://schemas.openxmlformats.org/drawingml/2006/picture">
                    <pic:pic xmlns:pic="http://schemas.openxmlformats.org/drawingml/2006/picture">
                      <pic:nvPicPr>
                        <pic:cNvPr id="11" name="图片 11"/>
                        <pic:cNvPicPr/>
                        <pic:nvPr/>
                      </pic:nvPicPr>
                      <pic:blipFill>
                        <a:blip r:embed="rId23"/>
                        <a:stretch/>
                      </pic:blipFill>
                      <pic:spPr bwMode="auto">
                        <a:xfrm>
                          <a:off x="0" y="0"/>
                          <a:ext cx="6162675" cy="87585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485.2pt;height:689.6pt;mso-wrap-distance-left:0.0pt;mso-wrap-distance-top:0.0pt;mso-wrap-distance-right:0.0pt;mso-wrap-distance-bottom:0.0pt;" stroked="f">
                <v:path textboxrect="0,0,0,0"/>
                <v:imagedata r:id="rId23" o:title=""/>
              </v:shape>
            </w:pict>
          </mc:Fallback>
        </mc:AlternateContent>
      </w:r>
      <w:r>
        <w:rPr>
          <w:rFonts w:ascii="宋体" w:hAnsi="宋体"/>
          <w:color w:val="auto"/>
          <w:sz w:val="24"/>
          <w:szCs w:val="24"/>
          <w:highlight w:val="none"/>
        </w:rPr>
        <mc:AlternateContent>
          <mc:Choice Requires="wpg">
            <w:drawing>
              <wp:inline xmlns:wp="http://schemas.openxmlformats.org/drawingml/2006/wordprocessingDrawing" distT="0" distB="0" distL="0" distR="0">
                <wp:extent cx="6162675" cy="8758555"/>
                <wp:effectExtent l="0" t="0" r="9525" b="4445"/>
                <wp:docPr id="14" name="图片 12"/>
                <wp:cNvGraphicFramePr/>
                <a:graphic xmlns:a="http://schemas.openxmlformats.org/drawingml/2006/main">
                  <a:graphicData uri="http://schemas.openxmlformats.org/drawingml/2006/picture">
                    <pic:pic xmlns:pic="http://schemas.openxmlformats.org/drawingml/2006/picture">
                      <pic:nvPicPr>
                        <pic:cNvPr id="12" name="图片 12"/>
                        <pic:cNvPicPr/>
                        <pic:nvPr/>
                      </pic:nvPicPr>
                      <pic:blipFill>
                        <a:blip r:embed="rId24"/>
                        <a:stretch/>
                      </pic:blipFill>
                      <pic:spPr bwMode="auto">
                        <a:xfrm>
                          <a:off x="0" y="0"/>
                          <a:ext cx="6162675" cy="87585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85.2pt;height:689.6pt;mso-wrap-distance-left:0.0pt;mso-wrap-distance-top:0.0pt;mso-wrap-distance-right:0.0pt;mso-wrap-distance-bottom:0.0pt;" stroked="f">
                <v:path textboxrect="0,0,0,0"/>
                <v:imagedata r:id="rId24" o:title=""/>
              </v:shape>
            </w:pict>
          </mc:Fallback>
        </mc:AlternateContent>
      </w:r>
      <w:r>
        <w:rPr>
          <w:rFonts w:ascii="宋体" w:hAnsi="宋体"/>
          <w:color w:val="auto"/>
          <w:sz w:val="24"/>
          <w:szCs w:val="24"/>
          <w:highlight w:val="none"/>
        </w:rPr>
        <mc:AlternateContent>
          <mc:Choice Requires="wpg">
            <w:drawing>
              <wp:inline xmlns:wp="http://schemas.openxmlformats.org/drawingml/2006/wordprocessingDrawing" distT="0" distB="0" distL="0" distR="0">
                <wp:extent cx="6162675" cy="8339455"/>
                <wp:effectExtent l="0" t="0" r="9525" b="12065"/>
                <wp:docPr id="15" name="图片 13"/>
                <wp:cNvGraphicFramePr/>
                <a:graphic xmlns:a="http://schemas.openxmlformats.org/drawingml/2006/main">
                  <a:graphicData uri="http://schemas.openxmlformats.org/drawingml/2006/picture">
                    <pic:pic xmlns:pic="http://schemas.openxmlformats.org/drawingml/2006/picture">
                      <pic:nvPicPr>
                        <pic:cNvPr id="13" name="图片 13"/>
                        <pic:cNvPicPr/>
                        <pic:nvPr/>
                      </pic:nvPicPr>
                      <pic:blipFill>
                        <a:blip r:embed="rId25"/>
                        <a:stretch/>
                      </pic:blipFill>
                      <pic:spPr bwMode="auto">
                        <a:xfrm>
                          <a:off x="0" y="0"/>
                          <a:ext cx="6162675" cy="83394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485.2pt;height:656.6pt;mso-wrap-distance-left:0.0pt;mso-wrap-distance-top:0.0pt;mso-wrap-distance-right:0.0pt;mso-wrap-distance-bottom:0.0pt;" stroked="f">
                <v:path textboxrect="0,0,0,0"/>
                <v:imagedata r:id="rId25" o:title=""/>
              </v:shape>
            </w:pict>
          </mc:Fallback>
        </mc:AlternateContent>
      </w:r>
      <w:r>
        <w:rPr>
          <w:rFonts w:ascii="宋体" w:hAnsi="宋体"/>
          <w:color w:val="auto"/>
          <w:sz w:val="21"/>
          <w:szCs w:val="21"/>
          <w:highlight w:val="none"/>
        </w:rPr>
        <w:br w:type="page" w:clear="all"/>
      </w:r>
      <w:bookmarkEnd w:id="48"/>
      <w:r/>
      <w:bookmarkEnd w:id="49"/>
      <w:r/>
      <w:bookmarkEnd w:id="50"/>
      <w:r/>
      <w:r/>
    </w:p>
    <w:p>
      <w:pPr>
        <w:pStyle w:val="1105"/>
        <w:jc w:val="left"/>
        <w:rPr>
          <w:rFonts w:ascii="黑体" w:eastAsia="黑体" w:cs="黑体"/>
          <w:color w:val="auto"/>
          <w:sz w:val="32"/>
          <w:szCs w:val="32"/>
          <w:highlight w:val="none"/>
        </w:rPr>
      </w:pPr>
      <w:r>
        <w:rPr>
          <w:rFonts w:ascii="黑体" w:eastAsia="黑体" w:cs="黑体"/>
          <w:color w:val="auto"/>
          <w:sz w:val="32"/>
          <w:szCs w:val="32"/>
          <w:highlight w:val="none"/>
        </w:rPr>
      </w:r>
      <w:r/>
    </w:p>
    <w:p>
      <w:pPr>
        <w:pStyle w:val="1105"/>
        <w:jc w:val="left"/>
        <w:rPr>
          <w:rFonts w:ascii="黑体" w:eastAsia="黑体" w:cs="黑体"/>
          <w:color w:val="auto"/>
          <w:sz w:val="32"/>
          <w:szCs w:val="32"/>
          <w:highlight w:val="none"/>
        </w:rPr>
      </w:pPr>
      <w:r>
        <w:rPr>
          <w:rFonts w:ascii="黑体" w:eastAsia="黑体" w:cs="黑体"/>
          <w:color w:val="auto"/>
          <w:sz w:val="32"/>
          <w:szCs w:val="32"/>
          <w:highlight w:val="none"/>
        </w:rPr>
      </w:r>
      <w:r/>
    </w:p>
    <w:p>
      <w:pPr>
        <w:pStyle w:val="806"/>
        <w:rPr>
          <w:rFonts w:hint="eastAsia"/>
          <w:color w:val="auto"/>
          <w:lang w:val="zh-CN"/>
        </w:rPr>
      </w:pPr>
      <w:r/>
      <w:bookmarkStart w:id="51" w:name="_Toc14035"/>
      <w:r>
        <w:rPr>
          <w:rFonts w:hint="eastAsia"/>
          <w:color w:val="auto"/>
          <w:lang w:val="zh-CN"/>
        </w:rPr>
        <w:t xml:space="preserve">第</w:t>
      </w:r>
      <w:r>
        <w:rPr>
          <w:rFonts w:hint="eastAsia"/>
          <w:color w:val="auto"/>
          <w:lang w:val="en-US" w:eastAsia="zh-CN"/>
        </w:rPr>
        <w:t xml:space="preserve">六</w:t>
      </w:r>
      <w:r>
        <w:rPr>
          <w:rFonts w:hint="eastAsia"/>
          <w:color w:val="auto"/>
          <w:lang w:val="zh-CN"/>
        </w:rPr>
        <w:t xml:space="preserve">章 投标文件格式及附件</w:t>
      </w:r>
      <w:bookmarkEnd w:id="51"/>
      <w:r/>
      <w:r/>
    </w:p>
    <w:p>
      <w:pPr>
        <w:pStyle w:val="1105"/>
        <w:jc w:val="left"/>
        <w:rPr>
          <w:rFonts w:ascii="黑体" w:eastAsia="黑体" w:cs="黑体"/>
          <w:color w:val="auto"/>
          <w:sz w:val="32"/>
          <w:szCs w:val="32"/>
          <w:highlight w:val="none"/>
        </w:rPr>
      </w:pPr>
      <w:r>
        <w:rPr>
          <w:rFonts w:ascii="黑体" w:eastAsia="黑体" w:cs="黑体"/>
          <w:color w:val="auto"/>
          <w:sz w:val="32"/>
          <w:szCs w:val="32"/>
          <w:highlight w:val="none"/>
        </w:rPr>
      </w:r>
      <w:r/>
    </w:p>
    <w:p>
      <w:pPr>
        <w:pStyle w:val="1105"/>
        <w:jc w:val="center"/>
        <w:rPr>
          <w:rFonts w:ascii="黑体" w:eastAsia="黑体" w:cs="黑体"/>
          <w:color w:val="auto"/>
          <w:sz w:val="52"/>
          <w:szCs w:val="52"/>
          <w:highlight w:val="none"/>
        </w:rPr>
      </w:pPr>
      <w:r>
        <w:rPr>
          <w:rFonts w:ascii="黑体" w:eastAsia="黑体" w:cs="黑体"/>
          <w:color w:val="auto"/>
          <w:sz w:val="52"/>
          <w:szCs w:val="52"/>
          <w:highlight w:val="none"/>
        </w:rPr>
      </w:r>
      <w:r/>
    </w:p>
    <w:p>
      <w:pPr>
        <w:pStyle w:val="1105"/>
        <w:jc w:val="center"/>
        <w:rPr>
          <w:rFonts w:ascii="黑体" w:eastAsia="黑体" w:cs="黑体"/>
          <w:color w:val="auto"/>
          <w:sz w:val="28"/>
          <w:szCs w:val="28"/>
          <w:highlight w:val="none"/>
        </w:rPr>
      </w:pPr>
      <w:r>
        <w:rPr>
          <w:rFonts w:hint="eastAsia" w:ascii="黑体" w:eastAsia="黑体" w:cs="黑体"/>
          <w:color w:val="auto"/>
          <w:sz w:val="72"/>
          <w:szCs w:val="72"/>
          <w:highlight w:val="none"/>
        </w:rPr>
        <w:t xml:space="preserve">投</w:t>
      </w:r>
      <w:r>
        <w:rPr>
          <w:rFonts w:ascii="黑体" w:eastAsia="黑体" w:cs="黑体"/>
          <w:color w:val="auto"/>
          <w:sz w:val="72"/>
          <w:szCs w:val="72"/>
          <w:highlight w:val="none"/>
        </w:rPr>
        <w:t xml:space="preserve"> </w:t>
      </w:r>
      <w:r>
        <w:rPr>
          <w:rFonts w:hint="eastAsia" w:ascii="黑体" w:eastAsia="黑体" w:cs="黑体"/>
          <w:color w:val="auto"/>
          <w:sz w:val="72"/>
          <w:szCs w:val="72"/>
          <w:highlight w:val="none"/>
        </w:rPr>
        <w:t xml:space="preserve">标</w:t>
      </w:r>
      <w:r>
        <w:rPr>
          <w:rFonts w:ascii="黑体" w:eastAsia="黑体" w:cs="黑体"/>
          <w:color w:val="auto"/>
          <w:sz w:val="72"/>
          <w:szCs w:val="72"/>
          <w:highlight w:val="none"/>
        </w:rPr>
        <w:t xml:space="preserve"> </w:t>
      </w:r>
      <w:r>
        <w:rPr>
          <w:rFonts w:hint="eastAsia" w:ascii="黑体" w:eastAsia="黑体" w:cs="黑体"/>
          <w:color w:val="auto"/>
          <w:sz w:val="72"/>
          <w:szCs w:val="72"/>
          <w:highlight w:val="none"/>
        </w:rPr>
        <w:t xml:space="preserve">文</w:t>
      </w:r>
      <w:r>
        <w:rPr>
          <w:rFonts w:ascii="黑体" w:eastAsia="黑体" w:cs="黑体"/>
          <w:color w:val="auto"/>
          <w:sz w:val="72"/>
          <w:szCs w:val="72"/>
          <w:highlight w:val="none"/>
        </w:rPr>
        <w:t xml:space="preserve"> </w:t>
      </w:r>
      <w:r>
        <w:rPr>
          <w:rFonts w:hint="eastAsia" w:ascii="黑体" w:eastAsia="黑体" w:cs="黑体"/>
          <w:color w:val="auto"/>
          <w:sz w:val="72"/>
          <w:szCs w:val="72"/>
          <w:highlight w:val="none"/>
        </w:rPr>
        <w:t xml:space="preserve">件</w:t>
      </w:r>
      <w:r/>
    </w:p>
    <w:p>
      <w:pPr>
        <w:pStyle w:val="1105"/>
        <w:jc w:val="left"/>
        <w:rPr>
          <w:rFonts w:ascii="黑体" w:eastAsia="黑体" w:cs="黑体"/>
          <w:color w:val="auto"/>
          <w:sz w:val="28"/>
          <w:szCs w:val="28"/>
          <w:highlight w:val="none"/>
        </w:rPr>
      </w:pPr>
      <w:r>
        <w:rPr>
          <w:rFonts w:ascii="黑体" w:eastAsia="黑体" w:cs="黑体"/>
          <w:color w:val="auto"/>
          <w:sz w:val="28"/>
          <w:szCs w:val="28"/>
          <w:highlight w:val="none"/>
        </w:rPr>
      </w:r>
      <w:r/>
    </w:p>
    <w:p>
      <w:pPr>
        <w:pStyle w:val="1105"/>
        <w:jc w:val="left"/>
        <w:rPr>
          <w:rFonts w:ascii="黑体" w:eastAsia="黑体" w:cs="黑体"/>
          <w:color w:val="auto"/>
          <w:sz w:val="28"/>
          <w:szCs w:val="28"/>
          <w:highlight w:val="none"/>
        </w:rPr>
      </w:pPr>
      <w:r>
        <w:rPr>
          <w:rFonts w:ascii="黑体" w:eastAsia="黑体" w:cs="黑体"/>
          <w:color w:val="auto"/>
          <w:sz w:val="28"/>
          <w:szCs w:val="28"/>
          <w:highlight w:val="none"/>
        </w:rPr>
      </w:r>
      <w:r/>
    </w:p>
    <w:p>
      <w:pPr>
        <w:pStyle w:val="1105"/>
        <w:jc w:val="left"/>
        <w:rPr>
          <w:rFonts w:ascii="黑体" w:eastAsia="黑体" w:cs="黑体"/>
          <w:color w:val="auto"/>
          <w:sz w:val="28"/>
          <w:szCs w:val="28"/>
          <w:highlight w:val="none"/>
        </w:rPr>
      </w:pPr>
      <w:r>
        <w:rPr>
          <w:rFonts w:ascii="黑体" w:eastAsia="黑体" w:cs="黑体"/>
          <w:color w:val="auto"/>
          <w:sz w:val="28"/>
          <w:szCs w:val="28"/>
          <w:highlight w:val="none"/>
        </w:rPr>
      </w:r>
      <w:r/>
    </w:p>
    <w:p>
      <w:pPr>
        <w:pStyle w:val="1105"/>
        <w:jc w:val="left"/>
        <w:rPr>
          <w:rFonts w:ascii="黑体" w:eastAsia="黑体" w:cs="黑体"/>
          <w:color w:val="auto"/>
          <w:sz w:val="28"/>
          <w:szCs w:val="28"/>
          <w:highlight w:val="none"/>
        </w:rPr>
      </w:pPr>
      <w:r>
        <w:rPr>
          <w:rFonts w:ascii="黑体" w:eastAsia="黑体" w:cs="黑体"/>
          <w:color w:val="auto"/>
          <w:sz w:val="28"/>
          <w:szCs w:val="28"/>
          <w:highlight w:val="none"/>
        </w:rPr>
      </w:r>
      <w:r/>
    </w:p>
    <w:p>
      <w:pPr>
        <w:pStyle w:val="1105"/>
        <w:jc w:val="left"/>
        <w:rPr>
          <w:rFonts w:ascii="黑体" w:eastAsia="黑体" w:cs="黑体"/>
          <w:color w:val="auto"/>
          <w:sz w:val="28"/>
          <w:szCs w:val="28"/>
          <w:highlight w:val="none"/>
        </w:rPr>
      </w:pPr>
      <w:r>
        <w:rPr>
          <w:rFonts w:ascii="黑体" w:eastAsia="黑体" w:cs="黑体"/>
          <w:color w:val="auto"/>
          <w:sz w:val="28"/>
          <w:szCs w:val="28"/>
          <w:highlight w:val="none"/>
        </w:rPr>
      </w:r>
      <w:r/>
    </w:p>
    <w:p>
      <w:pPr>
        <w:pStyle w:val="1093"/>
        <w:ind w:firstLine="723"/>
        <w:jc w:val="both"/>
        <w:rPr>
          <w:color w:val="auto"/>
          <w:highlight w:val="none"/>
        </w:rPr>
      </w:pPr>
      <w:r>
        <w:rPr>
          <w:rFonts w:hint="eastAsia"/>
          <w:b/>
          <w:color w:val="auto"/>
          <w:sz w:val="36"/>
          <w:szCs w:val="36"/>
          <w:highlight w:val="none"/>
        </w:rPr>
        <w:t xml:space="preserve">项目 名 称：</w:t>
      </w:r>
      <w:r>
        <w:rPr>
          <w:rFonts w:hint="eastAsia"/>
          <w:b/>
          <w:color w:val="auto"/>
          <w:sz w:val="36"/>
          <w:szCs w:val="36"/>
          <w:highlight w:val="none"/>
          <w:u w:val="single"/>
        </w:rPr>
        <w:t xml:space="preserve">               </w:t>
      </w:r>
      <w:r/>
    </w:p>
    <w:p>
      <w:pPr>
        <w:pStyle w:val="1093"/>
        <w:ind w:firstLine="723"/>
        <w:jc w:val="both"/>
        <w:rPr>
          <w:color w:val="auto"/>
          <w:highlight w:val="none"/>
        </w:rPr>
      </w:pPr>
      <w:r>
        <w:rPr>
          <w:rFonts w:hint="eastAsia"/>
          <w:b/>
          <w:color w:val="auto"/>
          <w:sz w:val="36"/>
          <w:szCs w:val="36"/>
          <w:highlight w:val="none"/>
        </w:rPr>
        <w:t xml:space="preserve">项目 编 号：</w:t>
      </w:r>
      <w:r>
        <w:rPr>
          <w:rFonts w:hint="eastAsia"/>
          <w:b/>
          <w:color w:val="auto"/>
          <w:sz w:val="36"/>
          <w:szCs w:val="36"/>
          <w:highlight w:val="none"/>
          <w:u w:val="single"/>
        </w:rPr>
        <w:t xml:space="preserve">               </w:t>
      </w:r>
      <w:r/>
    </w:p>
    <w:p>
      <w:pPr>
        <w:pStyle w:val="1093"/>
        <w:ind w:firstLine="723"/>
        <w:jc w:val="both"/>
        <w:rPr>
          <w:color w:val="auto"/>
          <w:highlight w:val="none"/>
        </w:rPr>
      </w:pPr>
      <w:r>
        <w:rPr>
          <w:rFonts w:hint="eastAsia"/>
          <w:b/>
          <w:color w:val="auto"/>
          <w:sz w:val="36"/>
          <w:szCs w:val="36"/>
          <w:highlight w:val="none"/>
        </w:rPr>
        <w:t xml:space="preserve">投标人名称 ：</w:t>
      </w:r>
      <w:r>
        <w:rPr>
          <w:rFonts w:hint="eastAsia"/>
          <w:b/>
          <w:color w:val="auto"/>
          <w:sz w:val="36"/>
          <w:szCs w:val="36"/>
          <w:highlight w:val="none"/>
          <w:u w:val="single"/>
        </w:rPr>
        <w:t xml:space="preserve">（加盖CA电子公章）        </w:t>
      </w:r>
      <w:r/>
    </w:p>
    <w:p>
      <w:pPr>
        <w:pStyle w:val="1093"/>
        <w:ind w:firstLine="723"/>
        <w:jc w:val="both"/>
        <w:rPr>
          <w:color w:val="auto"/>
          <w:highlight w:val="none"/>
        </w:rPr>
      </w:pPr>
      <w:r>
        <w:rPr>
          <w:rFonts w:hint="eastAsia"/>
          <w:b/>
          <w:color w:val="auto"/>
          <w:sz w:val="36"/>
          <w:szCs w:val="36"/>
          <w:highlight w:val="none"/>
        </w:rPr>
        <w:t xml:space="preserve">日   期 ：</w:t>
      </w:r>
      <w:r>
        <w:rPr>
          <w:rFonts w:hint="eastAsia"/>
          <w:b/>
          <w:color w:val="auto"/>
          <w:sz w:val="36"/>
          <w:szCs w:val="36"/>
          <w:highlight w:val="none"/>
          <w:u w:val="single"/>
        </w:rPr>
        <w:t xml:space="preserve">                     </w:t>
      </w:r>
      <w:r/>
    </w:p>
    <w:p>
      <w:pPr>
        <w:pStyle w:val="1093"/>
        <w:spacing w:line="0" w:lineRule="atLeast"/>
        <w:rPr>
          <w:color w:val="auto"/>
          <w:highlight w:val="none"/>
        </w:rPr>
      </w:pPr>
      <w:r>
        <w:rPr>
          <w:color w:val="auto"/>
          <w:highlight w:val="none"/>
        </w:rPr>
        <w:t xml:space="preserve"> </w:t>
      </w:r>
      <w:r/>
    </w:p>
    <w:p>
      <w:pPr>
        <w:pStyle w:val="1093"/>
        <w:jc w:val="both"/>
        <w:spacing w:line="0" w:lineRule="atLeast"/>
        <w:rPr>
          <w:color w:val="auto"/>
          <w:highlight w:val="none"/>
        </w:rPr>
      </w:pPr>
      <w:r>
        <w:rPr>
          <w:color w:val="auto"/>
          <w:highlight w:val="none"/>
        </w:rPr>
        <w:t xml:space="preserve"> </w:t>
      </w:r>
      <w:r/>
    </w:p>
    <w:p>
      <w:pPr>
        <w:rPr>
          <w:color w:val="auto"/>
          <w:highlight w:val="none"/>
        </w:rPr>
      </w:pPr>
      <w:r>
        <w:rPr>
          <w:color w:val="auto"/>
          <w:highlight w:val="none"/>
        </w:rPr>
      </w:r>
      <w:r/>
    </w:p>
    <w:p>
      <w:pPr>
        <w:spacing w:line="360" w:lineRule="auto"/>
        <w:rPr>
          <w:rFonts w:hint="eastAsia" w:ascii="宋体" w:hAnsi="宋体" w:cs="宋体"/>
          <w:b/>
          <w:color w:val="auto"/>
          <w:szCs w:val="21"/>
          <w:highlight w:val="none"/>
          <w:lang w:val="zh-CN"/>
        </w:rPr>
      </w:pPr>
      <w:r>
        <w:rPr>
          <w:color w:val="auto"/>
          <w:highlight w:val="none"/>
        </w:rPr>
        <w:br w:type="page" w:clear="all"/>
      </w:r>
      <w:r/>
    </w:p>
    <w:p>
      <w:pPr>
        <w:pStyle w:val="807"/>
        <w:jc w:val="center"/>
        <w:rPr>
          <w:rFonts w:hint="eastAsia"/>
          <w:color w:val="auto"/>
        </w:rPr>
      </w:pPr>
      <w:r/>
      <w:bookmarkStart w:id="52" w:name="_Toc11482"/>
      <w:r/>
      <w:bookmarkStart w:id="53" w:name="_Toc514054485"/>
      <w:r>
        <w:rPr>
          <w:color w:val="auto"/>
        </w:rPr>
        <w:t xml:space="preserve">目录</w:t>
      </w:r>
      <w:bookmarkEnd w:id="52"/>
      <w:r/>
      <w:bookmarkEnd w:id="53"/>
      <w:r/>
      <w:r/>
    </w:p>
    <w:p>
      <w:pPr>
        <w:spacing w:line="360" w:lineRule="auto"/>
        <w:rPr>
          <w:color w:val="auto"/>
          <w:sz w:val="28"/>
          <w:szCs w:val="28"/>
        </w:rPr>
      </w:pPr>
      <w:r>
        <w:rPr>
          <w:color w:val="auto"/>
          <w:sz w:val="28"/>
          <w:szCs w:val="28"/>
        </w:rPr>
        <w:t xml:space="preserve">一、投标人基本情况</w:t>
      </w:r>
      <w:r/>
    </w:p>
    <w:p>
      <w:pPr>
        <w:spacing w:line="360" w:lineRule="auto"/>
        <w:rPr>
          <w:color w:val="auto"/>
          <w:sz w:val="28"/>
          <w:szCs w:val="28"/>
        </w:rPr>
      </w:pPr>
      <w:r>
        <w:rPr>
          <w:color w:val="auto"/>
          <w:sz w:val="28"/>
          <w:szCs w:val="28"/>
        </w:rPr>
        <w:t xml:space="preserve">二、投标人资质</w:t>
      </w:r>
      <w:r/>
    </w:p>
    <w:p>
      <w:pPr>
        <w:spacing w:line="360" w:lineRule="auto"/>
        <w:rPr>
          <w:color w:val="auto"/>
          <w:sz w:val="28"/>
          <w:szCs w:val="28"/>
        </w:rPr>
      </w:pPr>
      <w:r>
        <w:rPr>
          <w:color w:val="auto"/>
          <w:sz w:val="28"/>
          <w:szCs w:val="28"/>
        </w:rPr>
        <w:t xml:space="preserve">三、</w:t>
      </w:r>
      <w:r>
        <w:rPr>
          <w:rFonts w:hint="eastAsia"/>
          <w:color w:val="auto"/>
          <w:sz w:val="28"/>
          <w:szCs w:val="28"/>
        </w:rPr>
        <w:t xml:space="preserve">投标人具有良好的商业信誉和健全的财务会计制度</w:t>
      </w:r>
      <w:r/>
    </w:p>
    <w:p>
      <w:pPr>
        <w:spacing w:line="360" w:lineRule="auto"/>
        <w:rPr>
          <w:color w:val="auto"/>
          <w:sz w:val="28"/>
          <w:szCs w:val="28"/>
        </w:rPr>
      </w:pPr>
      <w:r>
        <w:rPr>
          <w:color w:val="auto"/>
          <w:sz w:val="28"/>
          <w:szCs w:val="28"/>
        </w:rPr>
        <w:t xml:space="preserve">四、</w:t>
      </w:r>
      <w:r>
        <w:rPr>
          <w:rFonts w:hint="eastAsia"/>
          <w:color w:val="auto"/>
          <w:sz w:val="28"/>
          <w:szCs w:val="28"/>
        </w:rPr>
        <w:t xml:space="preserve">具有履行合同所必需的设备和专业技术能力</w:t>
      </w:r>
      <w:r/>
    </w:p>
    <w:p>
      <w:pPr>
        <w:spacing w:line="360" w:lineRule="auto"/>
        <w:rPr>
          <w:color w:val="auto"/>
          <w:sz w:val="28"/>
          <w:szCs w:val="28"/>
        </w:rPr>
      </w:pPr>
      <w:r>
        <w:rPr>
          <w:color w:val="auto"/>
          <w:sz w:val="28"/>
          <w:szCs w:val="28"/>
        </w:rPr>
        <w:t xml:space="preserve">五、</w:t>
      </w:r>
      <w:r>
        <w:rPr>
          <w:rFonts w:hint="eastAsia"/>
          <w:color w:val="auto"/>
          <w:sz w:val="28"/>
          <w:szCs w:val="28"/>
        </w:rPr>
        <w:t xml:space="preserve">有依法缴纳税收和社会保障资金的良好记录</w:t>
      </w:r>
      <w:r/>
    </w:p>
    <w:p>
      <w:pPr>
        <w:spacing w:line="360" w:lineRule="auto"/>
        <w:rPr>
          <w:color w:val="auto"/>
          <w:sz w:val="28"/>
          <w:szCs w:val="28"/>
        </w:rPr>
      </w:pPr>
      <w:r>
        <w:rPr>
          <w:color w:val="auto"/>
          <w:sz w:val="28"/>
          <w:szCs w:val="28"/>
        </w:rPr>
        <w:t xml:space="preserve">六、无重大违法行为声明</w:t>
      </w:r>
      <w:r/>
    </w:p>
    <w:p>
      <w:pPr>
        <w:spacing w:line="360" w:lineRule="auto"/>
        <w:rPr>
          <w:color w:val="auto"/>
          <w:sz w:val="28"/>
          <w:szCs w:val="28"/>
        </w:rPr>
      </w:pPr>
      <w:r>
        <w:rPr>
          <w:color w:val="auto"/>
          <w:sz w:val="28"/>
          <w:szCs w:val="28"/>
        </w:rPr>
        <w:t xml:space="preserve">七、投标函</w:t>
      </w:r>
      <w:r/>
    </w:p>
    <w:p>
      <w:pPr>
        <w:spacing w:line="360" w:lineRule="auto"/>
        <w:rPr>
          <w:color w:val="auto"/>
          <w:sz w:val="28"/>
          <w:szCs w:val="28"/>
        </w:rPr>
      </w:pPr>
      <w:r>
        <w:rPr>
          <w:color w:val="auto"/>
          <w:sz w:val="28"/>
          <w:szCs w:val="28"/>
        </w:rPr>
        <w:t xml:space="preserve">八、法定代表人身份证明或授权委托书</w:t>
      </w:r>
      <w:r/>
    </w:p>
    <w:p>
      <w:pPr>
        <w:spacing w:line="360" w:lineRule="auto"/>
        <w:rPr>
          <w:color w:val="auto"/>
          <w:sz w:val="28"/>
          <w:szCs w:val="28"/>
        </w:rPr>
      </w:pPr>
      <w:r>
        <w:rPr>
          <w:color w:val="auto"/>
          <w:sz w:val="28"/>
          <w:szCs w:val="28"/>
        </w:rPr>
        <w:t xml:space="preserve">九、开标一览表</w:t>
      </w:r>
      <w:r/>
    </w:p>
    <w:p>
      <w:pPr>
        <w:spacing w:line="360" w:lineRule="auto"/>
        <w:rPr>
          <w:color w:val="auto"/>
          <w:sz w:val="28"/>
          <w:szCs w:val="28"/>
        </w:rPr>
      </w:pPr>
      <w:r>
        <w:rPr>
          <w:color w:val="auto"/>
          <w:sz w:val="28"/>
          <w:szCs w:val="28"/>
        </w:rPr>
        <w:t xml:space="preserve">十、中小企业声明函</w:t>
      </w:r>
      <w:r/>
    </w:p>
    <w:p>
      <w:pPr>
        <w:spacing w:line="360" w:lineRule="auto"/>
        <w:rPr>
          <w:color w:val="auto"/>
          <w:sz w:val="28"/>
          <w:szCs w:val="28"/>
        </w:rPr>
      </w:pPr>
      <w:r>
        <w:rPr>
          <w:color w:val="auto"/>
          <w:sz w:val="28"/>
          <w:szCs w:val="28"/>
        </w:rPr>
        <w:t xml:space="preserve">十</w:t>
      </w:r>
      <w:r>
        <w:rPr>
          <w:rFonts w:hint="eastAsia"/>
          <w:color w:val="auto"/>
          <w:sz w:val="28"/>
          <w:szCs w:val="28"/>
        </w:rPr>
        <w:t xml:space="preserve">一</w:t>
      </w:r>
      <w:r>
        <w:rPr>
          <w:color w:val="auto"/>
          <w:sz w:val="28"/>
          <w:szCs w:val="28"/>
        </w:rPr>
        <w:t xml:space="preserve">、响应偏差表</w:t>
      </w:r>
      <w:r/>
    </w:p>
    <w:p>
      <w:pPr>
        <w:spacing w:line="360" w:lineRule="auto"/>
        <w:rPr>
          <w:rFonts w:hint="eastAsia"/>
          <w:color w:val="auto"/>
          <w:sz w:val="28"/>
          <w:szCs w:val="28"/>
        </w:rPr>
      </w:pPr>
      <w:r>
        <w:rPr>
          <w:color w:val="auto"/>
          <w:sz w:val="28"/>
          <w:szCs w:val="28"/>
        </w:rPr>
        <w:t xml:space="preserve">十</w:t>
      </w:r>
      <w:r>
        <w:rPr>
          <w:rFonts w:hint="eastAsia"/>
          <w:color w:val="auto"/>
          <w:sz w:val="28"/>
          <w:szCs w:val="28"/>
        </w:rPr>
        <w:t xml:space="preserve">二</w:t>
      </w:r>
      <w:r>
        <w:rPr>
          <w:color w:val="auto"/>
          <w:sz w:val="28"/>
          <w:szCs w:val="28"/>
        </w:rPr>
        <w:t xml:space="preserve">、</w:t>
      </w:r>
      <w:r>
        <w:rPr>
          <w:rFonts w:hint="eastAsia"/>
          <w:color w:val="auto"/>
          <w:sz w:val="28"/>
          <w:szCs w:val="28"/>
        </w:rPr>
        <w:t xml:space="preserve">设备清单</w:t>
      </w:r>
      <w:r/>
    </w:p>
    <w:p>
      <w:pPr>
        <w:spacing w:line="360" w:lineRule="auto"/>
        <w:rPr>
          <w:rFonts w:hint="eastAsia"/>
          <w:color w:val="auto"/>
          <w:sz w:val="28"/>
          <w:szCs w:val="28"/>
        </w:rPr>
      </w:pPr>
      <w:r>
        <w:rPr>
          <w:rFonts w:hint="eastAsia"/>
          <w:color w:val="auto"/>
          <w:sz w:val="28"/>
          <w:szCs w:val="28"/>
        </w:rPr>
        <w:t xml:space="preserve">十三、</w:t>
      </w:r>
      <w:r>
        <w:rPr>
          <w:rFonts w:hint="eastAsia"/>
          <w:color w:val="auto"/>
          <w:sz w:val="28"/>
          <w:szCs w:val="28"/>
          <w:lang w:val="zh-CN"/>
        </w:rPr>
        <w:t xml:space="preserve">投标人实施本项目拟投入的专业人员一览表</w:t>
      </w:r>
      <w:r/>
    </w:p>
    <w:p>
      <w:pPr>
        <w:spacing w:line="360" w:lineRule="auto"/>
        <w:rPr>
          <w:color w:val="auto"/>
          <w:sz w:val="28"/>
          <w:szCs w:val="28"/>
        </w:rPr>
      </w:pPr>
      <w:r>
        <w:rPr>
          <w:color w:val="auto"/>
          <w:sz w:val="28"/>
          <w:szCs w:val="28"/>
        </w:rPr>
        <w:t xml:space="preserve">十</w:t>
      </w:r>
      <w:r>
        <w:rPr>
          <w:rFonts w:hint="eastAsia"/>
          <w:color w:val="auto"/>
          <w:sz w:val="28"/>
          <w:szCs w:val="28"/>
        </w:rPr>
        <w:t xml:space="preserve">四</w:t>
      </w:r>
      <w:r>
        <w:rPr>
          <w:color w:val="auto"/>
          <w:sz w:val="28"/>
          <w:szCs w:val="28"/>
        </w:rPr>
        <w:t xml:space="preserve">、</w:t>
      </w:r>
      <w:bookmarkStart w:id="54" w:name="_Toc21060_WPSOffice_Level2"/>
      <w:r>
        <w:rPr>
          <w:rFonts w:hint="eastAsia"/>
          <w:color w:val="auto"/>
          <w:sz w:val="28"/>
          <w:szCs w:val="28"/>
        </w:rPr>
        <w:t xml:space="preserve">服务</w:t>
      </w:r>
      <w:r>
        <w:rPr>
          <w:color w:val="auto"/>
          <w:sz w:val="28"/>
          <w:szCs w:val="28"/>
        </w:rPr>
        <w:t xml:space="preserve">方案</w:t>
      </w:r>
      <w:bookmarkEnd w:id="54"/>
      <w:r/>
      <w:r/>
    </w:p>
    <w:p>
      <w:pPr>
        <w:spacing w:line="360" w:lineRule="auto"/>
        <w:rPr>
          <w:color w:val="auto"/>
          <w:sz w:val="28"/>
          <w:szCs w:val="28"/>
        </w:rPr>
      </w:pPr>
      <w:r>
        <w:rPr>
          <w:color w:val="auto"/>
          <w:sz w:val="28"/>
          <w:szCs w:val="28"/>
        </w:rPr>
        <w:t xml:space="preserve">十</w:t>
      </w:r>
      <w:r>
        <w:rPr>
          <w:rFonts w:hint="eastAsia"/>
          <w:color w:val="auto"/>
          <w:sz w:val="28"/>
          <w:szCs w:val="28"/>
        </w:rPr>
        <w:t xml:space="preserve">五</w:t>
      </w:r>
      <w:r>
        <w:rPr>
          <w:color w:val="auto"/>
          <w:sz w:val="28"/>
          <w:szCs w:val="28"/>
        </w:rPr>
        <w:t xml:space="preserve">、投标人项目业绩一览表</w:t>
      </w:r>
      <w:r/>
    </w:p>
    <w:p>
      <w:pPr>
        <w:spacing w:line="360" w:lineRule="auto"/>
        <w:rPr>
          <w:color w:val="auto"/>
          <w:sz w:val="28"/>
          <w:szCs w:val="28"/>
        </w:rPr>
      </w:pPr>
      <w:r>
        <w:rPr>
          <w:color w:val="auto"/>
          <w:sz w:val="28"/>
          <w:szCs w:val="28"/>
        </w:rPr>
        <w:t xml:space="preserve">十</w:t>
      </w:r>
      <w:r>
        <w:rPr>
          <w:rFonts w:hint="eastAsia"/>
          <w:color w:val="auto"/>
          <w:sz w:val="28"/>
          <w:szCs w:val="28"/>
        </w:rPr>
        <w:t xml:space="preserve">六</w:t>
      </w:r>
      <w:r>
        <w:rPr>
          <w:color w:val="auto"/>
          <w:sz w:val="28"/>
          <w:szCs w:val="28"/>
        </w:rPr>
        <w:t xml:space="preserve">、投标所需其他材料</w:t>
      </w:r>
      <w:r/>
    </w:p>
    <w:p>
      <w:pPr>
        <w:spacing w:line="360" w:lineRule="auto"/>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r>
      <w:r/>
    </w:p>
    <w:p>
      <w:pPr>
        <w:pStyle w:val="846"/>
        <w:rPr>
          <w:rFonts w:ascii="宋体" w:hAnsi="宋体"/>
          <w:b/>
          <w:color w:val="auto"/>
          <w:szCs w:val="21"/>
          <w:highlight w:val="none"/>
        </w:rPr>
      </w:pPr>
      <w:r>
        <w:rPr>
          <w:rFonts w:ascii="宋体" w:hAnsi="宋体"/>
          <w:b/>
          <w:color w:val="auto"/>
          <w:szCs w:val="21"/>
          <w:highlight w:val="none"/>
        </w:rPr>
      </w:r>
      <w:r/>
    </w:p>
    <w:p>
      <w:pPr>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r>
      <w:r/>
    </w:p>
    <w:p>
      <w:pPr>
        <w:pStyle w:val="846"/>
        <w:rPr>
          <w:rFonts w:ascii="宋体" w:hAnsi="宋体"/>
          <w:b/>
          <w:color w:val="auto"/>
          <w:szCs w:val="21"/>
          <w:highlight w:val="none"/>
        </w:rPr>
      </w:pPr>
      <w:r>
        <w:rPr>
          <w:rFonts w:ascii="宋体" w:hAnsi="宋体"/>
          <w:b/>
          <w:color w:val="auto"/>
          <w:szCs w:val="21"/>
          <w:highlight w:val="none"/>
        </w:rPr>
      </w:r>
      <w:r/>
    </w:p>
    <w:p>
      <w:pPr>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r>
      <w:r/>
    </w:p>
    <w:p>
      <w:pPr>
        <w:pStyle w:val="846"/>
        <w:rPr>
          <w:rFonts w:ascii="宋体" w:hAnsi="宋体"/>
          <w:b/>
          <w:color w:val="auto"/>
          <w:szCs w:val="21"/>
          <w:highlight w:val="none"/>
        </w:rPr>
      </w:pPr>
      <w:r>
        <w:rPr>
          <w:rFonts w:ascii="宋体" w:hAnsi="宋体"/>
          <w:b/>
          <w:color w:val="auto"/>
          <w:szCs w:val="21"/>
          <w:highlight w:val="none"/>
        </w:rPr>
      </w:r>
      <w:r/>
    </w:p>
    <w:p>
      <w:pPr>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r>
      <w:r/>
    </w:p>
    <w:p>
      <w:pPr>
        <w:pStyle w:val="846"/>
        <w:rPr>
          <w:rFonts w:ascii="宋体" w:hAnsi="宋体"/>
          <w:b/>
          <w:color w:val="auto"/>
          <w:szCs w:val="21"/>
          <w:highlight w:val="none"/>
        </w:rPr>
      </w:pPr>
      <w:r>
        <w:rPr>
          <w:rFonts w:ascii="宋体" w:hAnsi="宋体"/>
          <w:b/>
          <w:color w:val="auto"/>
          <w:szCs w:val="21"/>
          <w:highlight w:val="none"/>
        </w:rPr>
      </w:r>
      <w:r/>
    </w:p>
    <w:p>
      <w:pPr>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r>
      <w:r/>
    </w:p>
    <w:p>
      <w:pPr>
        <w:pStyle w:val="846"/>
        <w:rPr>
          <w:rFonts w:ascii="宋体" w:hAnsi="宋体"/>
          <w:b/>
          <w:color w:val="auto"/>
          <w:szCs w:val="21"/>
          <w:highlight w:val="none"/>
        </w:rPr>
      </w:pPr>
      <w:r>
        <w:rPr>
          <w:rFonts w:ascii="宋体" w:hAnsi="宋体"/>
          <w:b/>
          <w:color w:val="auto"/>
          <w:szCs w:val="21"/>
          <w:highlight w:val="none"/>
        </w:rPr>
      </w:r>
      <w:r/>
    </w:p>
    <w:p>
      <w:pPr>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r>
      <w:r/>
    </w:p>
    <w:p>
      <w:pPr>
        <w:pStyle w:val="846"/>
        <w:rPr>
          <w:rFonts w:ascii="宋体" w:hAnsi="宋体"/>
          <w:b/>
          <w:color w:val="auto"/>
          <w:szCs w:val="21"/>
          <w:highlight w:val="none"/>
        </w:rPr>
      </w:pPr>
      <w:r>
        <w:rPr>
          <w:rFonts w:ascii="宋体" w:hAnsi="宋体"/>
          <w:b/>
          <w:color w:val="auto"/>
          <w:szCs w:val="21"/>
          <w:highlight w:val="none"/>
        </w:rPr>
      </w:r>
      <w:r/>
    </w:p>
    <w:p>
      <w:pPr>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r>
      <w:r/>
    </w:p>
    <w:p>
      <w:pPr>
        <w:pStyle w:val="845"/>
        <w:rPr>
          <w:rFonts w:hint="eastAsia"/>
          <w:color w:val="auto"/>
          <w:lang w:val="zh-CN"/>
        </w:rPr>
      </w:pPr>
      <w:r>
        <w:rPr>
          <w:rFonts w:hint="eastAsia"/>
          <w:color w:val="auto"/>
          <w:lang w:val="zh-CN"/>
        </w:rPr>
      </w:r>
      <w:r/>
    </w:p>
    <w:p>
      <w:pPr>
        <w:pStyle w:val="846"/>
        <w:rPr>
          <w:rFonts w:ascii="宋体" w:hAnsi="宋体"/>
          <w:b/>
          <w:color w:val="auto"/>
          <w:szCs w:val="21"/>
          <w:highlight w:val="none"/>
        </w:rPr>
      </w:pPr>
      <w:r>
        <w:rPr>
          <w:rFonts w:ascii="宋体" w:hAnsi="宋体"/>
          <w:b/>
          <w:color w:val="auto"/>
          <w:szCs w:val="21"/>
          <w:highlight w:val="none"/>
        </w:rPr>
      </w:r>
      <w:r/>
    </w:p>
    <w:p>
      <w:pPr>
        <w:rPr>
          <w:color w:val="auto"/>
          <w:highlight w:val="none"/>
          <w:lang w:val="zh-CN"/>
        </w:rPr>
      </w:pPr>
      <w:r>
        <w:rPr>
          <w:color w:val="auto"/>
          <w:highlight w:val="none"/>
          <w:lang w:val="zh-CN"/>
        </w:rPr>
      </w:r>
      <w:r/>
    </w:p>
    <w:p>
      <w:pPr>
        <w:pStyle w:val="807"/>
        <w:rPr>
          <w:rFonts w:hint="eastAsia"/>
          <w:color w:val="auto"/>
        </w:rPr>
      </w:pPr>
      <w:r/>
      <w:bookmarkStart w:id="55" w:name="_Toc514054486"/>
      <w:r/>
      <w:bookmarkStart w:id="56" w:name="_Toc23205_WPSOffice_Level2"/>
      <w:r/>
      <w:bookmarkStart w:id="57" w:name="_Toc21292"/>
      <w:r>
        <w:rPr>
          <w:color w:val="auto"/>
        </w:rPr>
        <w:t xml:space="preserve">一、投标人基本情况</w:t>
      </w:r>
      <w:bookmarkEnd w:id="55"/>
      <w:r/>
      <w:bookmarkEnd w:id="56"/>
      <w:r/>
      <w:bookmarkEnd w:id="57"/>
      <w:r/>
      <w:r/>
    </w:p>
    <w:p>
      <w:pPr>
        <w:pStyle w:val="1110"/>
        <w:jc w:val="center"/>
        <w:rPr>
          <w:color w:val="auto"/>
          <w:sz w:val="44"/>
          <w:szCs w:val="44"/>
          <w:highlight w:val="none"/>
        </w:rPr>
      </w:pPr>
      <w:r>
        <w:rPr>
          <w:rFonts w:hint="eastAsia"/>
          <w:color w:val="auto"/>
          <w:sz w:val="44"/>
          <w:szCs w:val="44"/>
          <w:highlight w:val="none"/>
        </w:rPr>
        <w:t xml:space="preserve">投标人基本情况表</w:t>
      </w:r>
      <w:r/>
    </w:p>
    <w:tbl>
      <w:tblPr>
        <w:tblStyle w:val="81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110"/>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投标人名称</w:t>
            </w:r>
            <w:r/>
          </w:p>
        </w:tc>
        <w:tc>
          <w:tcPr>
            <w:gridSpan w:val="3"/>
            <w:tcW w:w="6998" w:type="dxa"/>
            <w:vAlign w:val="center"/>
            <w:textDirection w:val="lrTb"/>
            <w:noWrap w:val="false"/>
          </w:tcPr>
          <w:p>
            <w:pPr>
              <w:pStyle w:val="1110"/>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110"/>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法定代表人</w:t>
            </w:r>
            <w:r/>
          </w:p>
        </w:tc>
        <w:tc>
          <w:tcPr>
            <w:tcW w:w="3118" w:type="dxa"/>
            <w:vAlign w:val="center"/>
            <w:textDirection w:val="lrTb"/>
            <w:noWrap w:val="false"/>
          </w:tcPr>
          <w:p>
            <w:pPr>
              <w:pStyle w:val="1110"/>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110"/>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注册地区</w:t>
            </w:r>
            <w:r/>
          </w:p>
        </w:tc>
        <w:tc>
          <w:tcPr>
            <w:tcW w:w="2604" w:type="dxa"/>
            <w:vAlign w:val="center"/>
            <w:textDirection w:val="lrTb"/>
            <w:noWrap w:val="false"/>
          </w:tcPr>
          <w:p>
            <w:pPr>
              <w:pStyle w:val="1110"/>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110"/>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地址</w:t>
            </w:r>
            <w:r/>
          </w:p>
        </w:tc>
        <w:tc>
          <w:tcPr>
            <w:tcW w:w="3118" w:type="dxa"/>
            <w:vAlign w:val="center"/>
            <w:textDirection w:val="lrTb"/>
            <w:noWrap w:val="false"/>
          </w:tcPr>
          <w:p>
            <w:pPr>
              <w:pStyle w:val="1110"/>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110"/>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邮政编码</w:t>
            </w:r>
            <w:r/>
          </w:p>
        </w:tc>
        <w:tc>
          <w:tcPr>
            <w:tcW w:w="2604" w:type="dxa"/>
            <w:vAlign w:val="center"/>
            <w:textDirection w:val="lrTb"/>
            <w:noWrap w:val="false"/>
          </w:tcPr>
          <w:p>
            <w:pPr>
              <w:pStyle w:val="1110"/>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110"/>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成立时间</w:t>
            </w:r>
            <w:r/>
          </w:p>
        </w:tc>
        <w:tc>
          <w:tcPr>
            <w:tcW w:w="3118" w:type="dxa"/>
            <w:vAlign w:val="center"/>
            <w:textDirection w:val="lrTb"/>
            <w:noWrap w:val="false"/>
          </w:tcPr>
          <w:p>
            <w:pPr>
              <w:pStyle w:val="1110"/>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110"/>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单位性质</w:t>
            </w:r>
            <w:r/>
          </w:p>
        </w:tc>
        <w:tc>
          <w:tcPr>
            <w:tcW w:w="2604" w:type="dxa"/>
            <w:vAlign w:val="center"/>
            <w:textDirection w:val="lrTb"/>
            <w:noWrap w:val="false"/>
          </w:tcPr>
          <w:p>
            <w:pPr>
              <w:pStyle w:val="1110"/>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110"/>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注册号或社会信用代码</w:t>
            </w:r>
            <w:r/>
          </w:p>
        </w:tc>
        <w:tc>
          <w:tcPr>
            <w:tcW w:w="3118" w:type="dxa"/>
            <w:vAlign w:val="center"/>
            <w:textDirection w:val="lrTb"/>
            <w:noWrap w:val="false"/>
          </w:tcPr>
          <w:p>
            <w:pPr>
              <w:pStyle w:val="1110"/>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110"/>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注册资本（万元）</w:t>
            </w:r>
            <w:r/>
          </w:p>
        </w:tc>
        <w:tc>
          <w:tcPr>
            <w:tcW w:w="2604" w:type="dxa"/>
            <w:vAlign w:val="center"/>
            <w:textDirection w:val="lrTb"/>
            <w:noWrap w:val="false"/>
          </w:tcPr>
          <w:p>
            <w:pPr>
              <w:pStyle w:val="1110"/>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110"/>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开户银行</w:t>
            </w:r>
            <w:r/>
          </w:p>
        </w:tc>
        <w:tc>
          <w:tcPr>
            <w:tcW w:w="3118" w:type="dxa"/>
            <w:vAlign w:val="center"/>
            <w:textDirection w:val="lrTb"/>
            <w:noWrap w:val="false"/>
          </w:tcPr>
          <w:p>
            <w:pPr>
              <w:pStyle w:val="1110"/>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110"/>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账号</w:t>
            </w:r>
            <w:r/>
          </w:p>
        </w:tc>
        <w:tc>
          <w:tcPr>
            <w:tcW w:w="2604" w:type="dxa"/>
            <w:vAlign w:val="center"/>
            <w:textDirection w:val="lrTb"/>
            <w:noWrap w:val="false"/>
          </w:tcPr>
          <w:p>
            <w:pPr>
              <w:pStyle w:val="1110"/>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110"/>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联系人</w:t>
            </w:r>
            <w:r/>
          </w:p>
        </w:tc>
        <w:tc>
          <w:tcPr>
            <w:tcW w:w="3118" w:type="dxa"/>
            <w:vAlign w:val="center"/>
            <w:textDirection w:val="lrTb"/>
            <w:noWrap w:val="false"/>
          </w:tcPr>
          <w:p>
            <w:pPr>
              <w:pStyle w:val="1110"/>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110"/>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联系电话</w:t>
            </w:r>
            <w:r/>
          </w:p>
        </w:tc>
        <w:tc>
          <w:tcPr>
            <w:tcW w:w="2604" w:type="dxa"/>
            <w:vAlign w:val="center"/>
            <w:textDirection w:val="lrTb"/>
            <w:noWrap w:val="false"/>
          </w:tcPr>
          <w:p>
            <w:pPr>
              <w:pStyle w:val="1110"/>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Height w:val="2376"/>
        </w:trPr>
        <w:tc>
          <w:tcPr>
            <w:tcW w:w="1526" w:type="dxa"/>
            <w:vAlign w:val="center"/>
            <w:textDirection w:val="lrTb"/>
            <w:noWrap w:val="false"/>
          </w:tcPr>
          <w:p>
            <w:pPr>
              <w:pStyle w:val="1110"/>
              <w:jc w:val="center"/>
              <w:spacing w:line="56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经营范围</w:t>
            </w:r>
            <w:r/>
          </w:p>
        </w:tc>
        <w:tc>
          <w:tcPr>
            <w:gridSpan w:val="3"/>
            <w:tcW w:w="6998" w:type="dxa"/>
            <w:textDirection w:val="lrTb"/>
            <w:noWrap w:val="false"/>
          </w:tcPr>
          <w:p>
            <w:pPr>
              <w:pStyle w:val="1110"/>
              <w:ind w:firstLine="1432"/>
              <w:spacing w:line="56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Height w:val="1134"/>
        </w:trPr>
        <w:tc>
          <w:tcPr>
            <w:tcW w:w="1526" w:type="dxa"/>
            <w:vAlign w:val="center"/>
            <w:textDirection w:val="lrTb"/>
            <w:noWrap w:val="false"/>
          </w:tcPr>
          <w:p>
            <w:pPr>
              <w:pStyle w:val="1110"/>
              <w:jc w:val="center"/>
              <w:spacing w:line="56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备注</w:t>
            </w:r>
            <w:r/>
          </w:p>
        </w:tc>
        <w:tc>
          <w:tcPr>
            <w:gridSpan w:val="3"/>
            <w:tcW w:w="6998" w:type="dxa"/>
            <w:vAlign w:val="center"/>
            <w:textDirection w:val="lrTb"/>
            <w:noWrap w:val="false"/>
          </w:tcPr>
          <w:p>
            <w:pPr>
              <w:pStyle w:val="1110"/>
              <w:jc w:val="center"/>
              <w:spacing w:line="5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bl>
    <w:p>
      <w:pPr>
        <w:pStyle w:val="1110"/>
        <w:jc w:val="center"/>
        <w:spacing w:line="560" w:lineRule="exact"/>
        <w:rPr>
          <w:rFonts w:ascii="方正大标宋简体" w:eastAsia="方正大标宋简体"/>
          <w:bCs/>
          <w:color w:val="auto"/>
          <w:sz w:val="32"/>
          <w:szCs w:val="32"/>
          <w:highlight w:val="none"/>
        </w:rPr>
      </w:pPr>
      <w:r>
        <w:rPr>
          <w:rFonts w:ascii="方正大标宋简体" w:eastAsia="方正大标宋简体"/>
          <w:bCs/>
          <w:color w:val="auto"/>
          <w:sz w:val="32"/>
          <w:szCs w:val="32"/>
          <w:highlight w:val="none"/>
        </w:rPr>
      </w:r>
      <w:r/>
    </w:p>
    <w:p>
      <w:pPr>
        <w:pStyle w:val="807"/>
        <w:rPr>
          <w:rFonts w:hint="eastAsia"/>
          <w:color w:val="auto"/>
          <w:highlight w:val="none"/>
        </w:rPr>
      </w:pPr>
      <w:r>
        <w:rPr>
          <w:color w:val="auto"/>
          <w:highlight w:val="none"/>
        </w:rPr>
        <w:br w:type="page" w:clear="all"/>
      </w:r>
      <w:bookmarkStart w:id="58" w:name="_Toc30260_WPSOffice_Level2"/>
      <w:r/>
      <w:bookmarkStart w:id="59" w:name="_Toc514054487"/>
      <w:r/>
      <w:bookmarkStart w:id="60" w:name="_Toc15353"/>
      <w:r>
        <w:rPr>
          <w:color w:val="auto"/>
        </w:rPr>
        <w:t xml:space="preserve">二、</w:t>
      </w:r>
      <w:r>
        <w:rPr>
          <w:rFonts w:hint="eastAsia"/>
          <w:color w:val="auto"/>
        </w:rPr>
        <w:t xml:space="preserve">投标</w:t>
      </w:r>
      <w:r>
        <w:rPr>
          <w:color w:val="auto"/>
        </w:rPr>
        <w:t xml:space="preserve">人资质</w:t>
      </w:r>
      <w:bookmarkEnd w:id="58"/>
      <w:r/>
      <w:bookmarkEnd w:id="59"/>
      <w:r>
        <w:rPr>
          <w:rFonts w:hint="eastAsia"/>
          <w:color w:val="auto"/>
        </w:rPr>
        <w:t xml:space="preserve">（按资格要求提供）</w:t>
      </w:r>
      <w:bookmarkEnd w:id="60"/>
      <w:r/>
      <w:r/>
    </w:p>
    <w:p>
      <w:pPr>
        <w:pStyle w:val="1112"/>
        <w:rPr>
          <w:rFonts w:hint="eastAsia"/>
          <w:color w:val="auto"/>
          <w:highlight w:val="none"/>
        </w:rPr>
      </w:pPr>
      <w:r>
        <w:rPr>
          <w:rFonts w:hint="eastAsia"/>
          <w:color w:val="auto"/>
          <w:highlight w:val="none"/>
        </w:rPr>
        <w:t xml:space="preserve">    </w:t>
      </w:r>
      <w:bookmarkStart w:id="61" w:name="_Toc514054488"/>
      <w:r/>
      <w:bookmarkStart w:id="62" w:name="_Toc21452_WPSOffice_Level2"/>
      <w:r/>
      <w:r/>
    </w:p>
    <w:p>
      <w:pPr>
        <w:pStyle w:val="1112"/>
        <w:rPr>
          <w:rFonts w:hint="eastAsia"/>
          <w:color w:val="auto"/>
          <w:highlight w:val="none"/>
        </w:rPr>
      </w:pPr>
      <w:r>
        <w:rPr>
          <w:rFonts w:hint="eastAsia"/>
          <w:color w:val="auto"/>
          <w:highlight w:val="none"/>
        </w:rPr>
      </w:r>
      <w:r/>
    </w:p>
    <w:p>
      <w:pPr>
        <w:pStyle w:val="1112"/>
        <w:rPr>
          <w:rFonts w:hint="eastAsia"/>
          <w:color w:val="auto"/>
          <w:highlight w:val="none"/>
        </w:rPr>
      </w:pPr>
      <w:r>
        <w:rPr>
          <w:rFonts w:hint="eastAsia"/>
          <w:color w:val="auto"/>
          <w:highlight w:val="none"/>
        </w:rPr>
      </w:r>
      <w:r/>
    </w:p>
    <w:p>
      <w:pPr>
        <w:pStyle w:val="1112"/>
        <w:rPr>
          <w:rFonts w:hint="eastAsia"/>
          <w:color w:val="auto"/>
          <w:highlight w:val="none"/>
        </w:rPr>
      </w:pPr>
      <w:r>
        <w:rPr>
          <w:rFonts w:hint="eastAsia"/>
          <w:color w:val="auto"/>
          <w:highlight w:val="none"/>
        </w:rPr>
      </w:r>
      <w:r/>
    </w:p>
    <w:p>
      <w:pPr>
        <w:pStyle w:val="1112"/>
        <w:rPr>
          <w:rFonts w:hint="eastAsia"/>
          <w:color w:val="auto"/>
          <w:highlight w:val="none"/>
        </w:rPr>
      </w:pPr>
      <w:r>
        <w:rPr>
          <w:rFonts w:hint="eastAsia"/>
          <w:color w:val="auto"/>
          <w:highlight w:val="none"/>
        </w:rPr>
      </w:r>
      <w:r/>
    </w:p>
    <w:p>
      <w:pPr>
        <w:pStyle w:val="1112"/>
        <w:rPr>
          <w:rFonts w:hint="eastAsia"/>
          <w:color w:val="auto"/>
          <w:highlight w:val="none"/>
        </w:rPr>
      </w:pPr>
      <w:r>
        <w:rPr>
          <w:rFonts w:hint="eastAsia"/>
          <w:color w:val="auto"/>
          <w:highlight w:val="none"/>
        </w:rPr>
      </w:r>
      <w:r/>
    </w:p>
    <w:p>
      <w:pPr>
        <w:pStyle w:val="1112"/>
        <w:rPr>
          <w:rFonts w:hint="eastAsia"/>
          <w:color w:val="auto"/>
          <w:highlight w:val="none"/>
        </w:rPr>
      </w:pPr>
      <w:r>
        <w:rPr>
          <w:rFonts w:hint="eastAsia"/>
          <w:color w:val="auto"/>
          <w:highlight w:val="none"/>
        </w:rPr>
      </w:r>
      <w:r/>
    </w:p>
    <w:p>
      <w:pPr>
        <w:pStyle w:val="1112"/>
        <w:rPr>
          <w:rFonts w:hint="eastAsia"/>
          <w:color w:val="auto"/>
          <w:highlight w:val="none"/>
        </w:rPr>
      </w:pPr>
      <w:r>
        <w:rPr>
          <w:rFonts w:hint="eastAsia"/>
          <w:color w:val="auto"/>
          <w:highlight w:val="none"/>
        </w:rPr>
      </w:r>
      <w:r/>
    </w:p>
    <w:p>
      <w:pPr>
        <w:pStyle w:val="1112"/>
        <w:rPr>
          <w:rFonts w:hint="eastAsia"/>
          <w:color w:val="auto"/>
          <w:highlight w:val="none"/>
        </w:rPr>
      </w:pPr>
      <w:r>
        <w:rPr>
          <w:rFonts w:hint="eastAsia"/>
          <w:color w:val="auto"/>
          <w:highlight w:val="none"/>
        </w:rPr>
      </w:r>
      <w:r/>
    </w:p>
    <w:p>
      <w:pPr>
        <w:pStyle w:val="1112"/>
        <w:rPr>
          <w:rFonts w:hint="eastAsia"/>
          <w:color w:val="auto"/>
          <w:highlight w:val="none"/>
        </w:rPr>
      </w:pPr>
      <w:r>
        <w:rPr>
          <w:rFonts w:hint="eastAsia"/>
          <w:color w:val="auto"/>
          <w:highlight w:val="none"/>
        </w:rPr>
      </w:r>
      <w:r/>
    </w:p>
    <w:p>
      <w:pPr>
        <w:pStyle w:val="1112"/>
        <w:rPr>
          <w:rFonts w:hint="eastAsia"/>
          <w:color w:val="auto"/>
          <w:highlight w:val="none"/>
        </w:rPr>
      </w:pPr>
      <w:r>
        <w:rPr>
          <w:rFonts w:hint="eastAsia"/>
          <w:color w:val="auto"/>
          <w:highlight w:val="none"/>
        </w:rPr>
      </w:r>
      <w:r/>
    </w:p>
    <w:p>
      <w:pPr>
        <w:pStyle w:val="1112"/>
        <w:rPr>
          <w:rFonts w:hint="eastAsia"/>
          <w:color w:val="auto"/>
          <w:highlight w:val="none"/>
        </w:rPr>
      </w:pPr>
      <w:r>
        <w:rPr>
          <w:rFonts w:hint="eastAsia"/>
          <w:color w:val="auto"/>
          <w:highlight w:val="none"/>
        </w:rPr>
      </w:r>
      <w:r/>
    </w:p>
    <w:p>
      <w:pPr>
        <w:pStyle w:val="1112"/>
        <w:rPr>
          <w:rFonts w:hint="eastAsia"/>
          <w:color w:val="auto"/>
          <w:highlight w:val="none"/>
        </w:rPr>
      </w:pPr>
      <w:r>
        <w:rPr>
          <w:rFonts w:hint="eastAsia"/>
          <w:color w:val="auto"/>
          <w:highlight w:val="none"/>
        </w:rPr>
      </w:r>
      <w:r/>
    </w:p>
    <w:p>
      <w:pPr>
        <w:pStyle w:val="1112"/>
        <w:rPr>
          <w:rFonts w:hint="eastAsia"/>
          <w:color w:val="auto"/>
          <w:highlight w:val="none"/>
        </w:rPr>
      </w:pPr>
      <w:r>
        <w:rPr>
          <w:rFonts w:hint="eastAsia"/>
          <w:color w:val="auto"/>
          <w:highlight w:val="none"/>
        </w:rPr>
      </w:r>
      <w:r/>
    </w:p>
    <w:p>
      <w:pPr>
        <w:pStyle w:val="1112"/>
        <w:rPr>
          <w:rFonts w:hint="eastAsia"/>
          <w:color w:val="auto"/>
          <w:highlight w:val="none"/>
        </w:rPr>
      </w:pPr>
      <w:r>
        <w:rPr>
          <w:rFonts w:hint="eastAsia"/>
          <w:color w:val="auto"/>
          <w:highlight w:val="none"/>
        </w:rPr>
      </w:r>
      <w:r/>
    </w:p>
    <w:p>
      <w:pPr>
        <w:pStyle w:val="1112"/>
        <w:rPr>
          <w:rFonts w:hint="eastAsia"/>
          <w:color w:val="auto"/>
          <w:highlight w:val="none"/>
        </w:rPr>
      </w:pPr>
      <w:r>
        <w:rPr>
          <w:rFonts w:hint="eastAsia"/>
          <w:color w:val="auto"/>
          <w:highlight w:val="none"/>
        </w:rPr>
      </w:r>
      <w:r/>
    </w:p>
    <w:p>
      <w:pPr>
        <w:pStyle w:val="1112"/>
        <w:rPr>
          <w:rFonts w:hint="eastAsia"/>
          <w:color w:val="auto"/>
          <w:highlight w:val="none"/>
        </w:rPr>
      </w:pPr>
      <w:r>
        <w:rPr>
          <w:rFonts w:hint="eastAsia"/>
          <w:color w:val="auto"/>
          <w:highlight w:val="none"/>
        </w:rPr>
      </w:r>
      <w:r/>
    </w:p>
    <w:p>
      <w:pPr>
        <w:pStyle w:val="1112"/>
        <w:rPr>
          <w:rFonts w:hint="eastAsia"/>
          <w:color w:val="auto"/>
          <w:highlight w:val="none"/>
        </w:rPr>
      </w:pPr>
      <w:r>
        <w:rPr>
          <w:rFonts w:hint="eastAsia"/>
          <w:color w:val="auto"/>
          <w:highlight w:val="none"/>
        </w:rPr>
      </w:r>
      <w:r/>
    </w:p>
    <w:p>
      <w:pPr>
        <w:pStyle w:val="1112"/>
        <w:rPr>
          <w:rFonts w:hint="eastAsia"/>
          <w:color w:val="auto"/>
          <w:highlight w:val="none"/>
        </w:rPr>
      </w:pPr>
      <w:r>
        <w:rPr>
          <w:rFonts w:hint="eastAsia"/>
          <w:color w:val="auto"/>
          <w:highlight w:val="none"/>
        </w:rPr>
      </w:r>
      <w:r/>
    </w:p>
    <w:p>
      <w:pPr>
        <w:pStyle w:val="1112"/>
        <w:rPr>
          <w:rFonts w:hint="eastAsia"/>
          <w:color w:val="auto"/>
          <w:highlight w:val="none"/>
        </w:rPr>
      </w:pPr>
      <w:r>
        <w:rPr>
          <w:rFonts w:hint="eastAsia"/>
          <w:color w:val="auto"/>
          <w:highlight w:val="none"/>
        </w:rPr>
      </w:r>
      <w:r/>
    </w:p>
    <w:p>
      <w:pPr>
        <w:pStyle w:val="1112"/>
        <w:rPr>
          <w:rFonts w:hint="eastAsia"/>
          <w:color w:val="auto"/>
          <w:highlight w:val="none"/>
        </w:rPr>
      </w:pPr>
      <w:r>
        <w:rPr>
          <w:rFonts w:hint="eastAsia"/>
          <w:color w:val="auto"/>
          <w:highlight w:val="none"/>
        </w:rPr>
      </w:r>
      <w:r/>
    </w:p>
    <w:p>
      <w:pPr>
        <w:pStyle w:val="807"/>
        <w:rPr>
          <w:rFonts w:hint="eastAsia"/>
          <w:color w:val="auto"/>
        </w:rPr>
      </w:pPr>
      <w:r/>
      <w:bookmarkStart w:id="63" w:name="_Toc18935"/>
      <w:r>
        <w:rPr>
          <w:color w:val="auto"/>
        </w:rPr>
        <w:t xml:space="preserve">三、投标人</w:t>
      </w:r>
      <w:bookmarkEnd w:id="61"/>
      <w:r/>
      <w:bookmarkEnd w:id="62"/>
      <w:r/>
      <w:bookmarkEnd w:id="63"/>
      <w:r>
        <w:rPr>
          <w:rFonts w:hint="eastAsia"/>
          <w:color w:val="auto"/>
        </w:rPr>
        <w:t xml:space="preserve">具有良好的商业信誉和健全的财务会计制度</w:t>
      </w:r>
      <w:r/>
    </w:p>
    <w:p>
      <w:pPr>
        <w:pStyle w:val="1113"/>
        <w:rPr>
          <w:color w:val="auto"/>
          <w:highlight w:val="none"/>
        </w:rPr>
      </w:pPr>
      <w:r>
        <w:rPr>
          <w:rFonts w:hint="eastAsia" w:ascii="宋体"/>
          <w:bCs/>
          <w:color w:val="auto"/>
          <w:szCs w:val="32"/>
          <w:highlight w:val="none"/>
        </w:rPr>
        <w:t xml:space="preserve">提供符合招标文件要求的资料</w:t>
      </w:r>
      <w:r/>
    </w:p>
    <w:p>
      <w:pPr>
        <w:pStyle w:val="807"/>
        <w:rPr>
          <w:rFonts w:hint="eastAsia"/>
          <w:color w:val="auto"/>
          <w:highlight w:val="none"/>
        </w:rPr>
      </w:pPr>
      <w:r>
        <w:rPr>
          <w:color w:val="auto"/>
          <w:highlight w:val="none"/>
        </w:rPr>
        <w:br w:type="page" w:clear="all"/>
      </w:r>
      <w:bookmarkStart w:id="64" w:name="_Toc11562_WPSOffice_Level2"/>
      <w:r/>
      <w:bookmarkStart w:id="65" w:name="_Toc514054489"/>
      <w:r/>
      <w:bookmarkStart w:id="66" w:name="_Toc29626"/>
      <w:r>
        <w:rPr>
          <w:color w:val="auto"/>
        </w:rPr>
        <w:t xml:space="preserve">四、</w:t>
      </w:r>
      <w:bookmarkEnd w:id="64"/>
      <w:r/>
      <w:bookmarkEnd w:id="65"/>
      <w:r/>
      <w:bookmarkEnd w:id="66"/>
      <w:r>
        <w:rPr>
          <w:rFonts w:hint="eastAsia"/>
          <w:color w:val="auto"/>
        </w:rPr>
        <w:t xml:space="preserve">具有履行合同所必需的设备和专业技术能力</w:t>
      </w:r>
      <w:r/>
    </w:p>
    <w:p>
      <w:pPr>
        <w:spacing w:line="360" w:lineRule="auto"/>
        <w:rPr>
          <w:rFonts w:hint="eastAsia" w:ascii="宋体" w:hAnsi="宋体" w:cs="宋体"/>
          <w:b/>
          <w:color w:val="auto"/>
          <w:highlight w:val="none"/>
        </w:rPr>
      </w:pPr>
      <w:r/>
      <w:bookmarkStart w:id="67" w:name="_Toc31740_WPSOffice_Level2"/>
      <w:r/>
      <w:r/>
    </w:p>
    <w:p>
      <w:pPr>
        <w:spacing w:line="360" w:lineRule="auto"/>
        <w:rPr>
          <w:rFonts w:hint="eastAsia" w:ascii="宋体" w:hAnsi="宋体" w:cs="宋体"/>
          <w:color w:val="auto"/>
          <w:sz w:val="36"/>
          <w:szCs w:val="36"/>
          <w:highlight w:val="none"/>
        </w:rPr>
      </w:pPr>
      <w:r>
        <w:rPr>
          <w:rFonts w:hint="eastAsia" w:ascii="宋体" w:hAnsi="宋体" w:cs="宋体"/>
          <w:color w:val="auto"/>
          <w:sz w:val="36"/>
          <w:szCs w:val="36"/>
          <w:highlight w:val="none"/>
        </w:rPr>
        <w:t xml:space="preserve">  具备履行合同所必需的设备和专业技术能力的声明</w:t>
      </w:r>
      <w:r/>
    </w:p>
    <w:p>
      <w:pPr>
        <w:spacing w:line="460" w:lineRule="exact"/>
        <w:rPr>
          <w:rFonts w:hint="eastAsia" w:ascii="宋体" w:hAnsi="宋体" w:cs="宋体"/>
          <w:color w:val="auto"/>
          <w:szCs w:val="21"/>
          <w:highlight w:val="none"/>
        </w:rPr>
      </w:pPr>
      <w:r>
        <w:rPr>
          <w:rFonts w:hint="eastAsia" w:ascii="宋体" w:hAnsi="宋体" w:cs="宋体"/>
          <w:color w:val="auto"/>
          <w:szCs w:val="21"/>
          <w:highlight w:val="none"/>
        </w:rPr>
      </w:r>
      <w:r/>
    </w:p>
    <w:p>
      <w:pPr>
        <w:spacing w:line="460" w:lineRule="exact"/>
        <w:rPr>
          <w:rFonts w:hint="eastAsia" w:ascii="宋体" w:hAnsi="宋体" w:cs="宋体"/>
          <w:color w:val="auto"/>
          <w:highlight w:val="none"/>
        </w:rPr>
      </w:pPr>
      <w:r>
        <w:rPr>
          <w:rFonts w:ascii="宋体" w:hAnsi="宋体" w:cs="宋体"/>
          <w:color w:val="auto"/>
          <w:highlight w:val="none"/>
          <w:u w:val="single"/>
        </w:rPr>
        <w:t xml:space="preserve">    </w:t>
      </w:r>
      <w:r>
        <w:rPr>
          <w:rFonts w:hint="eastAsia" w:ascii="宋体" w:hAnsi="宋体" w:cs="宋体"/>
          <w:color w:val="auto"/>
          <w:highlight w:val="none"/>
          <w:u w:val="single"/>
        </w:rPr>
        <w:t xml:space="preserve">    </w:t>
      </w:r>
      <w:r>
        <w:rPr>
          <w:rFonts w:ascii="宋体" w:hAnsi="宋体" w:cs="宋体"/>
          <w:color w:val="auto"/>
          <w:highlight w:val="none"/>
          <w:u w:val="single"/>
        </w:rPr>
        <w:t xml:space="preserve">    </w:t>
      </w:r>
      <w:r>
        <w:rPr>
          <w:rFonts w:hint="eastAsia" w:ascii="宋体" w:hAnsi="宋体" w:cs="宋体"/>
          <w:color w:val="auto"/>
          <w:highlight w:val="none"/>
          <w:u w:val="single"/>
        </w:rPr>
        <w:t xml:space="preserve">（</w:t>
      </w:r>
      <w:r>
        <w:rPr>
          <w:rFonts w:hint="eastAsia" w:ascii="宋体" w:hAnsi="宋体" w:cs="宋体"/>
          <w:color w:val="auto"/>
          <w:highlight w:val="none"/>
        </w:rPr>
        <w:t xml:space="preserve">采购人名称）：</w:t>
      </w:r>
      <w:r/>
    </w:p>
    <w:p>
      <w:pPr>
        <w:ind w:firstLine="492"/>
        <w:spacing w:line="460" w:lineRule="exact"/>
        <w:rPr>
          <w:rFonts w:hint="eastAsia" w:ascii="宋体" w:hAnsi="宋体" w:cs="宋体"/>
          <w:color w:val="auto"/>
          <w:highlight w:val="none"/>
        </w:rPr>
      </w:pPr>
      <w:r>
        <w:rPr>
          <w:rFonts w:hint="eastAsia" w:ascii="宋体" w:hAnsi="宋体" w:cs="宋体"/>
          <w:color w:val="auto"/>
          <w:highlight w:val="none"/>
        </w:rPr>
        <w:t xml:space="preserve">我单位 </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（供应商名称）郑重声明：我公司具备履行本项采购合同所必需的设备和专业技术能力，为履行本项采购合同我单位具备如下主要设备和主要专业技术能力：</w:t>
      </w:r>
      <w:r/>
    </w:p>
    <w:p>
      <w:pPr>
        <w:ind w:firstLine="492"/>
        <w:spacing w:line="460" w:lineRule="exact"/>
        <w:rPr>
          <w:rFonts w:hint="eastAsia" w:ascii="宋体" w:hAnsi="宋体" w:cs="宋体"/>
          <w:color w:val="auto"/>
          <w:highlight w:val="none"/>
        </w:rPr>
      </w:pPr>
      <w:r>
        <w:rPr>
          <w:rFonts w:hint="eastAsia" w:ascii="宋体" w:hAnsi="宋体" w:cs="宋体"/>
          <w:color w:val="auto"/>
          <w:highlight w:val="none"/>
        </w:rPr>
        <w:t xml:space="preserve">主要设备有：</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 若有 )</w:t>
      </w:r>
      <w:r/>
    </w:p>
    <w:p>
      <w:pPr>
        <w:ind w:firstLine="492"/>
        <w:spacing w:line="460" w:lineRule="exact"/>
        <w:rPr>
          <w:rFonts w:hint="eastAsia" w:ascii="宋体" w:hAnsi="宋体" w:cs="宋体"/>
          <w:color w:val="auto"/>
          <w:highlight w:val="none"/>
        </w:rPr>
      </w:pPr>
      <w:r>
        <w:rPr>
          <w:rFonts w:hint="eastAsia" w:ascii="宋体" w:hAnsi="宋体" w:cs="宋体"/>
          <w:color w:val="auto"/>
          <w:highlight w:val="none"/>
        </w:rPr>
        <w:t xml:space="preserve">主要专业技术能力有：</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 若有 )</w:t>
      </w:r>
      <w:r/>
    </w:p>
    <w:p>
      <w:pPr>
        <w:spacing w:line="460" w:lineRule="exact"/>
        <w:rPr>
          <w:rFonts w:hint="eastAsia" w:ascii="宋体" w:hAnsi="宋体" w:cs="宋体"/>
          <w:color w:val="auto"/>
          <w:highlight w:val="none"/>
        </w:rPr>
      </w:pPr>
      <w:r>
        <w:rPr>
          <w:rFonts w:hint="eastAsia" w:ascii="宋体" w:hAnsi="宋体" w:cs="宋体"/>
          <w:color w:val="auto"/>
          <w:highlight w:val="none"/>
        </w:rPr>
      </w:r>
      <w:r/>
    </w:p>
    <w:p>
      <w:pPr>
        <w:jc w:val="right"/>
        <w:spacing w:line="460" w:lineRule="exact"/>
        <w:rPr>
          <w:rFonts w:hint="eastAsia" w:ascii="宋体" w:hAnsi="宋体" w:cs="宋体"/>
          <w:color w:val="auto"/>
          <w:highlight w:val="none"/>
        </w:rPr>
      </w:pPr>
      <w:r>
        <w:rPr>
          <w:rFonts w:hint="eastAsia" w:ascii="宋体" w:hAnsi="宋体" w:cs="宋体"/>
          <w:color w:val="auto"/>
          <w:highlight w:val="none"/>
        </w:rPr>
        <w:t xml:space="preserve">                                           声明人：（加盖电子公章）</w:t>
      </w:r>
      <w:r/>
    </w:p>
    <w:p>
      <w:pPr>
        <w:jc w:val="right"/>
        <w:spacing w:line="460" w:lineRule="exact"/>
        <w:rPr>
          <w:rFonts w:hint="eastAsia" w:ascii="宋体" w:hAnsi="宋体" w:cs="宋体"/>
          <w:color w:val="auto"/>
          <w:highlight w:val="none"/>
        </w:rPr>
      </w:pPr>
      <w:r>
        <w:rPr>
          <w:rFonts w:hint="eastAsia" w:ascii="宋体" w:hAnsi="宋体" w:cs="宋体"/>
          <w:color w:val="auto"/>
          <w:highlight w:val="none"/>
        </w:rPr>
        <w:t xml:space="preserve">      日期：       年    月    日</w:t>
      </w:r>
      <w:bookmarkEnd w:id="67"/>
      <w:r/>
      <w:r/>
    </w:p>
    <w:p>
      <w:pPr>
        <w:pStyle w:val="807"/>
        <w:rPr>
          <w:rFonts w:ascii="宋体" w:hAnsi="宋体" w:cs="Arial"/>
          <w:bCs/>
          <w:color w:val="auto"/>
          <w:highlight w:val="none"/>
        </w:rPr>
      </w:pPr>
      <w:r>
        <w:rPr>
          <w:color w:val="auto"/>
          <w:highlight w:val="none"/>
        </w:rPr>
        <w:br w:type="page" w:clear="all"/>
      </w:r>
      <w:bookmarkStart w:id="68" w:name="_Toc13419"/>
      <w:r/>
      <w:bookmarkStart w:id="69" w:name="_Toc467_WPSOffice_Level2"/>
      <w:r/>
      <w:bookmarkStart w:id="70" w:name="_Toc514054490"/>
      <w:r>
        <w:rPr>
          <w:rFonts w:hint="eastAsia"/>
          <w:color w:val="auto"/>
        </w:rPr>
        <w:t xml:space="preserve">五、</w:t>
      </w:r>
      <w:bookmarkEnd w:id="68"/>
      <w:r/>
      <w:bookmarkEnd w:id="69"/>
      <w:r/>
      <w:bookmarkEnd w:id="70"/>
      <w:r>
        <w:rPr>
          <w:rFonts w:hint="eastAsia"/>
          <w:color w:val="auto"/>
        </w:rPr>
        <w:t xml:space="preserve">有依法缴纳税收和社会保障资金的良好记录</w:t>
      </w:r>
      <w:r/>
    </w:p>
    <w:p>
      <w:pPr>
        <w:pStyle w:val="1113"/>
        <w:rPr>
          <w:color w:val="auto"/>
          <w:highlight w:val="none"/>
        </w:rPr>
      </w:pPr>
      <w:r>
        <w:rPr>
          <w:rFonts w:hint="eastAsia" w:ascii="宋体"/>
          <w:bCs/>
          <w:color w:val="auto"/>
          <w:szCs w:val="32"/>
          <w:highlight w:val="none"/>
        </w:rPr>
        <w:t xml:space="preserve">提供符合招标文件要求的资料</w:t>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pStyle w:val="807"/>
        <w:rPr>
          <w:rFonts w:hint="eastAsia"/>
          <w:color w:val="auto"/>
        </w:rPr>
      </w:pPr>
      <w:r/>
      <w:bookmarkStart w:id="71" w:name="_Toc514054491"/>
      <w:r/>
      <w:bookmarkStart w:id="72" w:name="_Toc19673"/>
      <w:r/>
      <w:bookmarkStart w:id="73" w:name="_Toc5571_WPSOffice_Level2"/>
      <w:r>
        <w:rPr>
          <w:color w:val="auto"/>
        </w:rPr>
        <w:t xml:space="preserve">六、无重大违法行为声明</w:t>
      </w:r>
      <w:bookmarkEnd w:id="71"/>
      <w:r/>
      <w:bookmarkEnd w:id="72"/>
      <w:r/>
      <w:bookmarkEnd w:id="73"/>
      <w:r/>
      <w:r/>
    </w:p>
    <w:p>
      <w:pPr>
        <w:pStyle w:val="1120"/>
        <w:jc w:val="center"/>
        <w:spacing w:line="580" w:lineRule="exact"/>
        <w:tabs>
          <w:tab w:val="left" w:pos="1498" w:leader="none"/>
        </w:tabs>
        <w:rPr>
          <w:b/>
          <w:color w:val="auto"/>
          <w:sz w:val="32"/>
          <w:szCs w:val="32"/>
          <w:highlight w:val="none"/>
        </w:rPr>
      </w:pPr>
      <w:r/>
      <w:bookmarkStart w:id="74" w:name="_Toc7575_WPSOffice_Level2"/>
      <w:r/>
      <w:r/>
    </w:p>
    <w:p>
      <w:pPr>
        <w:jc w:val="center"/>
        <w:spacing w:line="360" w:lineRule="auto"/>
        <w:rPr>
          <w:rFonts w:hint="eastAsia" w:ascii="宋体" w:hAnsi="宋体" w:cs="宋体"/>
          <w:color w:val="auto"/>
          <w:sz w:val="36"/>
          <w:szCs w:val="36"/>
          <w:highlight w:val="none"/>
        </w:rPr>
      </w:pPr>
      <w:r>
        <w:rPr>
          <w:rFonts w:hint="eastAsia" w:ascii="宋体" w:hAnsi="宋体" w:cs="宋体"/>
          <w:color w:val="auto"/>
          <w:sz w:val="36"/>
          <w:szCs w:val="36"/>
          <w:highlight w:val="none"/>
        </w:rPr>
        <w:t xml:space="preserve">无重大违法记录声明</w:t>
      </w:r>
      <w:r/>
    </w:p>
    <w:p>
      <w:pPr>
        <w:spacing w:line="460" w:lineRule="exact"/>
        <w:rPr>
          <w:rFonts w:hint="eastAsia" w:ascii="宋体" w:hAnsi="宋体" w:cs="宋体"/>
          <w:color w:val="auto"/>
          <w:highlight w:val="none"/>
        </w:rPr>
      </w:pPr>
      <w:r>
        <w:rPr>
          <w:rFonts w:hint="eastAsia" w:ascii="宋体" w:hAnsi="宋体" w:cs="宋体"/>
          <w:color w:val="auto"/>
          <w:highlight w:val="none"/>
        </w:rPr>
      </w:r>
      <w:r/>
    </w:p>
    <w:p>
      <w:pPr>
        <w:spacing w:line="460" w:lineRule="exact"/>
        <w:rPr>
          <w:rFonts w:hint="eastAsia" w:ascii="宋体" w:hAnsi="宋体" w:cs="宋体"/>
          <w:color w:val="auto"/>
          <w:highlight w:val="none"/>
        </w:rPr>
      </w:pPr>
      <w:r>
        <w:rPr>
          <w:rFonts w:ascii="宋体" w:hAnsi="宋体" w:cs="宋体"/>
          <w:color w:val="auto"/>
          <w:highlight w:val="none"/>
          <w:u w:val="single"/>
        </w:rPr>
        <w:t xml:space="preserve">        </w:t>
      </w:r>
      <w:r>
        <w:rPr>
          <w:rFonts w:hint="eastAsia" w:ascii="宋体" w:hAnsi="宋体" w:cs="宋体"/>
          <w:color w:val="auto"/>
          <w:highlight w:val="none"/>
          <w:u w:val="single"/>
        </w:rPr>
        <w:t xml:space="preserve">（</w:t>
      </w:r>
      <w:r>
        <w:rPr>
          <w:rFonts w:hint="eastAsia" w:ascii="宋体" w:hAnsi="宋体" w:cs="宋体"/>
          <w:color w:val="auto"/>
          <w:highlight w:val="none"/>
        </w:rPr>
        <w:t xml:space="preserve">采购人名称）：</w:t>
      </w:r>
      <w:r/>
    </w:p>
    <w:p>
      <w:pPr>
        <w:spacing w:line="460" w:lineRule="exact"/>
        <w:rPr>
          <w:rFonts w:hint="eastAsia" w:ascii="宋体" w:hAnsi="宋体" w:cs="宋体"/>
          <w:color w:val="auto"/>
          <w:highlight w:val="none"/>
        </w:rPr>
      </w:pPr>
      <w:r>
        <w:rPr>
          <w:rFonts w:hint="eastAsia" w:ascii="宋体" w:hAnsi="宋体" w:cs="宋体"/>
          <w:color w:val="auto"/>
          <w:highlight w:val="none"/>
        </w:rPr>
        <w:t xml:space="preserve">    我单位</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（供应商名称）郑重声明：</w:t>
      </w:r>
      <w:r/>
    </w:p>
    <w:p>
      <w:pPr>
        <w:spacing w:line="460" w:lineRule="exact"/>
        <w:rPr>
          <w:rFonts w:hint="eastAsia" w:ascii="宋体" w:hAnsi="宋体" w:cs="宋体"/>
          <w:color w:val="auto"/>
          <w:highlight w:val="none"/>
        </w:rPr>
      </w:pPr>
      <w:r>
        <w:rPr>
          <w:rFonts w:hint="eastAsia" w:ascii="宋体" w:hAnsi="宋体" w:cs="宋体"/>
          <w:color w:val="auto"/>
          <w:highlight w:val="none"/>
        </w:rPr>
        <w:t xml:space="preserve">    </w:t>
      </w:r>
      <w:r>
        <w:rPr>
          <w:rFonts w:hint="eastAsia" w:ascii="仿宋_GB2312" w:eastAsia="仿宋_GB2312"/>
          <w:color w:val="auto"/>
          <w:sz w:val="24"/>
          <w:highlight w:val="none"/>
        </w:rPr>
        <w:t xml:space="preserve">在参加编号为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号</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项目</w:t>
      </w:r>
      <w:r>
        <w:rPr>
          <w:rFonts w:hint="eastAsia" w:ascii="宋体" w:hAnsi="宋体" w:cs="宋体"/>
          <w:color w:val="auto"/>
          <w:highlight w:val="none"/>
        </w:rPr>
        <w:t xml:space="preserve">政府采购活动前3年内在经营活动中 </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（在下划线上如实填写：有或没有）重大违法记录。</w:t>
      </w:r>
      <w:r/>
    </w:p>
    <w:p>
      <w:pPr>
        <w:spacing w:line="460" w:lineRule="exact"/>
        <w:rPr>
          <w:rFonts w:hint="eastAsia" w:ascii="宋体" w:hAnsi="宋体" w:cs="宋体"/>
          <w:color w:val="auto"/>
          <w:highlight w:val="none"/>
        </w:rPr>
      </w:pPr>
      <w:r>
        <w:rPr>
          <w:rFonts w:hint="eastAsia" w:ascii="宋体" w:hAnsi="宋体" w:cs="宋体"/>
          <w:color w:val="auto"/>
          <w:highlight w:val="none"/>
        </w:rPr>
        <w:t xml:space="preserve">    （说明：政府采购法第二十二条第一款第五项所称重大违法记录，是指供应商因违法经营受到刑事处罚或者责令停产停业、吊销许可证或者执照、较大数额罚款等行政处罚。）</w:t>
      </w:r>
      <w:r/>
    </w:p>
    <w:p>
      <w:pPr>
        <w:spacing w:line="460" w:lineRule="exact"/>
        <w:rPr>
          <w:rFonts w:hint="eastAsia" w:ascii="宋体" w:hAnsi="宋体" w:cs="宋体"/>
          <w:color w:val="auto"/>
          <w:highlight w:val="none"/>
        </w:rPr>
      </w:pPr>
      <w:r>
        <w:rPr>
          <w:rFonts w:hint="eastAsia" w:ascii="宋体" w:hAnsi="宋体" w:cs="宋体"/>
          <w:color w:val="auto"/>
          <w:highlight w:val="none"/>
        </w:rPr>
      </w:r>
      <w:r/>
    </w:p>
    <w:p>
      <w:pPr>
        <w:jc w:val="right"/>
        <w:spacing w:line="460" w:lineRule="exact"/>
        <w:rPr>
          <w:rFonts w:hint="eastAsia" w:ascii="宋体" w:hAnsi="宋体" w:cs="宋体"/>
          <w:color w:val="auto"/>
          <w:sz w:val="30"/>
          <w:szCs w:val="30"/>
          <w:highlight w:val="none"/>
        </w:rPr>
      </w:pPr>
      <w:r>
        <w:rPr>
          <w:rFonts w:hint="eastAsia" w:ascii="宋体" w:hAnsi="宋体" w:cs="宋体"/>
          <w:color w:val="auto"/>
          <w:highlight w:val="none"/>
        </w:rPr>
        <w:t xml:space="preserve">                                                      声明人：（加盖电子公章）</w:t>
      </w:r>
      <w:r/>
    </w:p>
    <w:p>
      <w:pPr>
        <w:ind w:firstLine="4515"/>
        <w:jc w:val="right"/>
        <w:spacing w:line="460" w:lineRule="exact"/>
        <w:rPr>
          <w:rFonts w:hint="eastAsia" w:ascii="宋体" w:hAnsi="宋体" w:cs="宋体"/>
          <w:color w:val="auto"/>
          <w:highlight w:val="none"/>
        </w:rPr>
      </w:pPr>
      <w:r>
        <w:rPr>
          <w:rFonts w:hint="eastAsia" w:ascii="宋体" w:hAnsi="宋体" w:cs="宋体"/>
          <w:color w:val="auto"/>
          <w:highlight w:val="none"/>
        </w:rPr>
        <w:t xml:space="preserve">年     月    日</w:t>
      </w:r>
      <w:r/>
    </w:p>
    <w:p>
      <w:pPr>
        <w:spacing w:line="360" w:lineRule="auto"/>
        <w:rPr>
          <w:rFonts w:hint="eastAsia" w:ascii="宋体" w:hAnsi="宋体" w:cs="宋体"/>
          <w:b/>
          <w:color w:val="auto"/>
          <w:highlight w:val="none"/>
        </w:rPr>
      </w:pPr>
      <w:r>
        <w:rPr>
          <w:rFonts w:hint="eastAsia" w:ascii="宋体" w:hAnsi="宋体" w:cs="宋体"/>
          <w:b/>
          <w:color w:val="auto"/>
          <w:highlight w:val="none"/>
        </w:rPr>
      </w:r>
      <w:bookmarkEnd w:id="74"/>
      <w:r/>
      <w:r/>
    </w:p>
    <w:p>
      <w:pPr>
        <w:pStyle w:val="1120"/>
        <w:jc w:val="left"/>
        <w:spacing w:line="580" w:lineRule="exact"/>
        <w:tabs>
          <w:tab w:val="left" w:pos="1498" w:leader="none"/>
        </w:tabs>
        <w:rPr>
          <w:b/>
          <w:color w:val="auto"/>
          <w:sz w:val="32"/>
          <w:szCs w:val="32"/>
          <w:highlight w:val="none"/>
        </w:rPr>
      </w:pPr>
      <w:r>
        <w:rPr>
          <w:b/>
          <w:color w:val="auto"/>
          <w:sz w:val="32"/>
          <w:szCs w:val="32"/>
          <w:highlight w:val="none"/>
        </w:rPr>
      </w:r>
      <w:r/>
    </w:p>
    <w:p>
      <w:pPr>
        <w:pStyle w:val="1120"/>
        <w:jc w:val="left"/>
        <w:spacing w:line="580" w:lineRule="exact"/>
        <w:tabs>
          <w:tab w:val="left" w:pos="1498" w:leader="none"/>
        </w:tabs>
        <w:rPr>
          <w:b/>
          <w:color w:val="auto"/>
          <w:sz w:val="32"/>
          <w:szCs w:val="32"/>
          <w:highlight w:val="none"/>
        </w:rPr>
      </w:pPr>
      <w:r>
        <w:rPr>
          <w:b/>
          <w:color w:val="auto"/>
          <w:sz w:val="32"/>
          <w:szCs w:val="32"/>
          <w:highlight w:val="none"/>
        </w:rPr>
      </w:r>
      <w:r/>
    </w:p>
    <w:p>
      <w:pPr>
        <w:pStyle w:val="1120"/>
        <w:jc w:val="left"/>
        <w:spacing w:line="580" w:lineRule="exact"/>
        <w:tabs>
          <w:tab w:val="left" w:pos="1498" w:leader="none"/>
        </w:tabs>
        <w:rPr>
          <w:b/>
          <w:color w:val="auto"/>
          <w:sz w:val="32"/>
          <w:szCs w:val="32"/>
          <w:highlight w:val="none"/>
        </w:rPr>
      </w:pPr>
      <w:r>
        <w:rPr>
          <w:b/>
          <w:color w:val="auto"/>
          <w:sz w:val="32"/>
          <w:szCs w:val="32"/>
          <w:highlight w:val="none"/>
        </w:rPr>
      </w:r>
      <w:r/>
    </w:p>
    <w:p>
      <w:pPr>
        <w:pStyle w:val="1120"/>
        <w:jc w:val="left"/>
        <w:spacing w:line="580" w:lineRule="exact"/>
        <w:tabs>
          <w:tab w:val="left" w:pos="1498" w:leader="none"/>
        </w:tabs>
        <w:rPr>
          <w:b/>
          <w:color w:val="auto"/>
          <w:sz w:val="32"/>
          <w:szCs w:val="32"/>
          <w:highlight w:val="none"/>
        </w:rPr>
      </w:pPr>
      <w:r>
        <w:rPr>
          <w:b/>
          <w:color w:val="auto"/>
          <w:sz w:val="32"/>
          <w:szCs w:val="32"/>
          <w:highlight w:val="none"/>
        </w:rPr>
      </w:r>
      <w:r/>
    </w:p>
    <w:p>
      <w:pPr>
        <w:pStyle w:val="1120"/>
        <w:jc w:val="left"/>
        <w:spacing w:line="580" w:lineRule="exact"/>
        <w:tabs>
          <w:tab w:val="left" w:pos="1498" w:leader="none"/>
        </w:tabs>
        <w:rPr>
          <w:b/>
          <w:color w:val="auto"/>
          <w:sz w:val="32"/>
          <w:szCs w:val="32"/>
          <w:highlight w:val="none"/>
        </w:rPr>
      </w:pPr>
      <w:r>
        <w:rPr>
          <w:b/>
          <w:color w:val="auto"/>
          <w:sz w:val="32"/>
          <w:szCs w:val="32"/>
          <w:highlight w:val="none"/>
        </w:rPr>
      </w:r>
      <w:r/>
    </w:p>
    <w:p>
      <w:pPr>
        <w:pStyle w:val="807"/>
        <w:rPr>
          <w:color w:val="auto"/>
          <w:lang w:val="zh-CN"/>
        </w:rPr>
      </w:pPr>
      <w:r>
        <w:rPr>
          <w:rFonts w:hint="eastAsia"/>
          <w:color w:val="auto"/>
        </w:rPr>
        <w:t xml:space="preserve">七</w:t>
      </w:r>
      <w:r>
        <w:rPr>
          <w:rFonts w:hint="eastAsia"/>
          <w:color w:val="auto"/>
          <w:lang w:val="zh-CN"/>
        </w:rPr>
        <w:t xml:space="preserve">、投标</w:t>
      </w:r>
      <w:r>
        <w:rPr>
          <w:rFonts w:hint="eastAsia"/>
          <w:color w:val="auto"/>
        </w:rPr>
        <w:t xml:space="preserve">函</w:t>
      </w:r>
      <w:r>
        <w:rPr>
          <w:rFonts w:hint="eastAsia"/>
          <w:color w:val="auto"/>
          <w:lang w:val="zh-CN"/>
        </w:rPr>
        <w:t xml:space="preserve">及声明格式</w:t>
      </w:r>
      <w:r/>
    </w:p>
    <w:p>
      <w:pPr>
        <w:jc w:val="center"/>
        <w:rPr>
          <w:rFonts w:hint="eastAsia"/>
          <w:color w:val="auto"/>
          <w:sz w:val="32"/>
          <w:szCs w:val="32"/>
          <w:lang w:val="zh-CN"/>
        </w:rPr>
      </w:pPr>
      <w:r/>
      <w:bookmarkStart w:id="75" w:name="_Toc32604"/>
      <w:r/>
      <w:bookmarkStart w:id="76" w:name="_Toc4379"/>
      <w:r>
        <w:rPr>
          <w:rFonts w:hint="eastAsia"/>
          <w:color w:val="auto"/>
          <w:sz w:val="32"/>
          <w:szCs w:val="32"/>
          <w:lang w:val="zh-CN"/>
        </w:rPr>
        <w:t xml:space="preserve">投标</w:t>
      </w:r>
      <w:r>
        <w:rPr>
          <w:rFonts w:hint="eastAsia"/>
          <w:color w:val="auto"/>
          <w:sz w:val="32"/>
          <w:szCs w:val="32"/>
        </w:rPr>
        <w:t xml:space="preserve">函</w:t>
      </w:r>
      <w:r>
        <w:rPr>
          <w:rFonts w:hint="eastAsia"/>
          <w:color w:val="auto"/>
          <w:sz w:val="32"/>
          <w:szCs w:val="32"/>
          <w:lang w:val="zh-CN"/>
        </w:rPr>
        <w:t xml:space="preserve">及声明</w:t>
      </w:r>
      <w:bookmarkEnd w:id="75"/>
      <w:r/>
      <w:bookmarkEnd w:id="76"/>
      <w:r/>
      <w:r/>
    </w:p>
    <w:p>
      <w:pPr>
        <w:pStyle w:val="1013"/>
        <w:spacing w:line="440" w:lineRule="exact"/>
        <w:rPr>
          <w:color w:val="auto"/>
          <w:highlight w:val="none"/>
          <w:lang w:val="zh-CN"/>
        </w:rPr>
      </w:pPr>
      <w:r/>
      <w:bookmarkStart w:id="77" w:name="_Toc27899"/>
      <w:r/>
      <w:bookmarkStart w:id="78" w:name="_Toc18647"/>
      <w:r>
        <w:rPr>
          <w:rFonts w:hint="eastAsia"/>
          <w:color w:val="auto"/>
          <w:highlight w:val="none"/>
          <w:lang w:val="zh-CN"/>
        </w:rPr>
        <w:t xml:space="preserve">致</w:t>
      </w:r>
      <w:r>
        <w:rPr>
          <w:rFonts w:hint="eastAsia"/>
          <w:color w:val="auto"/>
          <w:highlight w:val="none"/>
          <w:u w:val="single"/>
        </w:rPr>
        <w:t xml:space="preserve">        （</w:t>
      </w:r>
      <w:r>
        <w:rPr>
          <w:rFonts w:hint="eastAsia"/>
          <w:color w:val="auto"/>
          <w:highlight w:val="none"/>
          <w:u w:val="single"/>
          <w:lang w:val="zh-CN"/>
        </w:rPr>
        <w:t xml:space="preserve">采购人名称）</w:t>
      </w:r>
      <w:r>
        <w:rPr>
          <w:rFonts w:hint="eastAsia"/>
          <w:color w:val="auto"/>
          <w:highlight w:val="none"/>
          <w:lang w:val="zh-CN"/>
        </w:rPr>
        <w:t xml:space="preserve">：</w:t>
      </w:r>
      <w:bookmarkEnd w:id="77"/>
      <w:r/>
      <w:bookmarkEnd w:id="78"/>
      <w:r>
        <w:rPr>
          <w:rFonts w:hint="eastAsia"/>
          <w:color w:val="auto"/>
          <w:highlight w:val="none"/>
          <w:lang w:val="zh-CN"/>
        </w:rPr>
        <w:t xml:space="preserve"> </w:t>
      </w:r>
      <w:r/>
    </w:p>
    <w:p>
      <w:pPr>
        <w:pStyle w:val="1013"/>
        <w:ind w:firstLine="420"/>
        <w:spacing w:line="440" w:lineRule="exact"/>
        <w:rPr>
          <w:color w:val="auto"/>
          <w:highlight w:val="none"/>
          <w:lang w:val="zh-CN"/>
        </w:rPr>
      </w:pPr>
      <w:r>
        <w:rPr>
          <w:rFonts w:hint="eastAsia"/>
          <w:color w:val="auto"/>
          <w:highlight w:val="none"/>
          <w:lang w:val="zh-CN"/>
        </w:rPr>
        <w:t xml:space="preserve">   </w:t>
      </w:r>
      <w:bookmarkStart w:id="79" w:name="_Toc4607"/>
      <w:r/>
      <w:bookmarkStart w:id="80" w:name="_Toc9373"/>
      <w:r>
        <w:rPr>
          <w:rFonts w:hint="eastAsia" w:hAnsi="宋体" w:cs="宋体"/>
          <w:color w:val="auto"/>
          <w:szCs w:val="21"/>
          <w:highlight w:val="none"/>
          <w:lang w:val="zh-CN"/>
        </w:rPr>
        <w:t xml:space="preserve">经研究，我们决定参加编号为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w:t>
      </w:r>
      <w:r>
        <w:rPr>
          <w:rFonts w:hint="eastAsia"/>
          <w:color w:val="auto"/>
          <w:highlight w:val="none"/>
          <w:lang w:val="zh-CN"/>
        </w:rPr>
        <w:t xml:space="preserve">（项目名称）</w:t>
      </w:r>
      <w:r>
        <w:rPr>
          <w:rFonts w:hint="eastAsia"/>
          <w:color w:val="auto"/>
          <w:highlight w:val="none"/>
          <w:u w:val="single"/>
        </w:rPr>
        <w:t xml:space="preserve">               </w:t>
      </w:r>
      <w:r>
        <w:rPr>
          <w:rFonts w:hint="eastAsia" w:ascii="仿宋_GB2312" w:eastAsia="仿宋_GB2312"/>
          <w:color w:val="auto"/>
          <w:sz w:val="24"/>
          <w:highlight w:val="none"/>
          <w:u w:val="single"/>
        </w:rPr>
        <w:t xml:space="preserve">  </w:t>
      </w:r>
      <w:r>
        <w:rPr>
          <w:rFonts w:hint="eastAsia" w:hAnsi="宋体" w:cs="宋体"/>
          <w:color w:val="auto"/>
          <w:szCs w:val="21"/>
          <w:highlight w:val="none"/>
          <w:lang w:val="zh-CN"/>
        </w:rPr>
        <w:t xml:space="preserve">的招标活动并投标，</w:t>
      </w:r>
      <w:r>
        <w:rPr>
          <w:rFonts w:hint="eastAsia"/>
          <w:color w:val="auto"/>
          <w:highlight w:val="none"/>
          <w:lang w:val="zh-CN"/>
        </w:rPr>
        <w:t xml:space="preserve">正式授权下述签字人</w:t>
      </w:r>
      <w:r>
        <w:rPr>
          <w:rFonts w:hint="eastAsia"/>
          <w:color w:val="auto"/>
          <w:highlight w:val="none"/>
          <w:u w:val="single"/>
        </w:rPr>
        <w:t xml:space="preserve">        </w:t>
      </w:r>
      <w:r>
        <w:rPr>
          <w:rFonts w:hint="eastAsia"/>
          <w:color w:val="auto"/>
          <w:highlight w:val="none"/>
          <w:lang w:val="zh-CN"/>
        </w:rPr>
        <w:t xml:space="preserve">(姓名和职务)代表供应商</w:t>
      </w:r>
      <w:r>
        <w:rPr>
          <w:rFonts w:hint="eastAsia"/>
          <w:color w:val="auto"/>
          <w:highlight w:val="none"/>
          <w:u w:val="single"/>
        </w:rPr>
        <w:t xml:space="preserve">                 </w:t>
      </w:r>
      <w:r>
        <w:rPr>
          <w:rFonts w:hint="eastAsia"/>
          <w:color w:val="auto"/>
          <w:highlight w:val="none"/>
          <w:lang w:val="zh-CN"/>
        </w:rPr>
        <w:t xml:space="preserve">（供应商名称），提交投标文件。</w:t>
      </w:r>
      <w:bookmarkEnd w:id="79"/>
      <w:r/>
      <w:bookmarkEnd w:id="80"/>
      <w:r/>
      <w:r/>
    </w:p>
    <w:p>
      <w:pPr>
        <w:ind w:firstLine="420"/>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据此函，签字人兹宣布声明和承诺如下，并负法律责任：</w:t>
      </w:r>
      <w:r/>
    </w:p>
    <w:p>
      <w:pPr>
        <w:ind w:firstLine="420"/>
        <w:spacing w:line="440" w:lineRule="exact"/>
        <w:rPr>
          <w:rFonts w:hint="eastAsia" w:ascii="宋体" w:hAnsi="宋体" w:cs="宋体"/>
          <w:color w:val="auto"/>
          <w:highlight w:val="none"/>
        </w:rPr>
      </w:pPr>
      <w:r>
        <w:rPr>
          <w:rFonts w:hint="eastAsia" w:ascii="宋体" w:hAnsi="宋体" w:cs="宋体"/>
          <w:color w:val="auto"/>
          <w:szCs w:val="21"/>
          <w:highlight w:val="none"/>
          <w:lang w:val="zh-CN"/>
        </w:rPr>
        <w:t xml:space="preserve">1、</w:t>
      </w:r>
      <w:r>
        <w:rPr>
          <w:rFonts w:hint="eastAsia" w:ascii="宋体" w:hAnsi="宋体" w:cs="宋体"/>
          <w:b/>
          <w:color w:val="auto"/>
          <w:szCs w:val="21"/>
          <w:highlight w:val="none"/>
          <w:lang w:val="zh-CN"/>
        </w:rPr>
        <w:t xml:space="preserve">我们的资格条件完全符合政府采购法和本次采购要求</w:t>
      </w:r>
      <w:r>
        <w:rPr>
          <w:rFonts w:hint="eastAsia" w:ascii="宋体" w:hAnsi="宋体" w:cs="宋体"/>
          <w:color w:val="auto"/>
          <w:szCs w:val="21"/>
          <w:highlight w:val="none"/>
          <w:lang w:val="zh-CN"/>
        </w:rPr>
        <w:t xml:space="preserve">，</w:t>
      </w:r>
      <w:r>
        <w:rPr>
          <w:rFonts w:hint="eastAsia" w:ascii="宋体" w:hAnsi="宋体" w:cs="宋体"/>
          <w:color w:val="auto"/>
          <w:highlight w:val="none"/>
        </w:rPr>
        <w:t xml:space="preserve">我们</w:t>
      </w:r>
      <w:r>
        <w:rPr>
          <w:rFonts w:hint="eastAsia" w:ascii="宋体" w:hAnsi="宋体" w:cs="宋体"/>
          <w:color w:val="auto"/>
          <w:szCs w:val="21"/>
          <w:highlight w:val="none"/>
          <w:lang w:val="zh-CN"/>
        </w:rPr>
        <w:t xml:space="preserve">同意并向贵方提供了与投标有关的所有证据和资料。</w:t>
      </w:r>
      <w:r/>
    </w:p>
    <w:p>
      <w:pPr>
        <w:ind w:firstLine="420"/>
        <w:spacing w:line="440" w:lineRule="exact"/>
        <w:rPr>
          <w:rFonts w:hint="eastAsia" w:ascii="宋体" w:hAnsi="宋体" w:cs="宋体"/>
          <w:color w:val="auto"/>
          <w:szCs w:val="21"/>
          <w:highlight w:val="none"/>
          <w:lang w:val="zh-CN"/>
        </w:rPr>
      </w:pPr>
      <w:r>
        <w:rPr>
          <w:rFonts w:hint="eastAsia" w:ascii="宋体" w:hAnsi="宋体" w:cs="宋体"/>
          <w:color w:val="auto"/>
          <w:highlight w:val="none"/>
        </w:rPr>
        <w:t xml:space="preserve">2、</w:t>
      </w:r>
      <w:r>
        <w:rPr>
          <w:rFonts w:hint="eastAsia" w:ascii="宋体" w:hAnsi="宋体" w:cs="宋体"/>
          <w:color w:val="auto"/>
          <w:szCs w:val="21"/>
          <w:highlight w:val="none"/>
          <w:lang w:val="zh-CN"/>
        </w:rPr>
        <w:t xml:space="preserve">按采购要求，我们的投标总报价为</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（大写）元人民币。</w:t>
      </w:r>
      <w:r/>
    </w:p>
    <w:p>
      <w:pPr>
        <w:ind w:firstLine="420"/>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3、我们已详细审核全部采购文件及其有效补充文件，我们放弃对采购文件任何误解的权利，提交投标文件后，</w:t>
      </w:r>
      <w:r>
        <w:rPr>
          <w:rFonts w:hint="eastAsia" w:ascii="宋体" w:hAnsi="宋体" w:cs="宋体"/>
          <w:b/>
          <w:color w:val="auto"/>
          <w:szCs w:val="21"/>
          <w:highlight w:val="none"/>
          <w:lang w:val="zh-CN"/>
        </w:rPr>
        <w:t xml:space="preserve">不对采购文件本身提出质疑</w:t>
      </w:r>
      <w:r>
        <w:rPr>
          <w:rFonts w:hint="eastAsia" w:ascii="宋体" w:hAnsi="宋体" w:cs="宋体"/>
          <w:color w:val="auto"/>
          <w:szCs w:val="21"/>
          <w:highlight w:val="none"/>
          <w:lang w:val="zh-CN"/>
        </w:rPr>
        <w:t xml:space="preserve">。否则，属于不诚信和故意扰乱政府采购活动行为，我们将无条件接受处罚。</w:t>
      </w:r>
      <w:r/>
    </w:p>
    <w:p>
      <w:pPr>
        <w:ind w:firstLine="420"/>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4、我们同意从规定的开标日期起遵循本投标文件，并在规定的投标有效期期满之前均具有约束力。</w:t>
      </w:r>
      <w:r/>
    </w:p>
    <w:p>
      <w:pPr>
        <w:ind w:firstLine="420"/>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5、一旦我方中标，我方将</w:t>
      </w:r>
      <w:r>
        <w:rPr>
          <w:rFonts w:hint="eastAsia" w:ascii="宋体" w:hAnsi="宋体" w:cs="宋体"/>
          <w:color w:val="auto"/>
          <w:szCs w:val="21"/>
          <w:highlight w:val="none"/>
        </w:rPr>
        <w:t xml:space="preserve">派出</w:t>
      </w:r>
      <w:r>
        <w:rPr>
          <w:rFonts w:hint="eastAsia" w:ascii="宋体" w:hAnsi="宋体" w:cs="宋体"/>
          <w:color w:val="auto"/>
          <w:szCs w:val="21"/>
          <w:highlight w:val="none"/>
          <w:lang w:val="zh-CN"/>
        </w:rPr>
        <w:t xml:space="preserve"> </w:t>
      </w:r>
      <w:r>
        <w:rPr>
          <w:rFonts w:hint="eastAsia" w:ascii="仿宋_GB2312" w:eastAsia="仿宋_GB2312"/>
          <w:color w:val="auto"/>
          <w:sz w:val="24"/>
          <w:highlight w:val="none"/>
          <w:u w:val="single"/>
        </w:rPr>
        <w:t xml:space="preserve">           </w:t>
      </w:r>
      <w:r>
        <w:rPr>
          <w:rFonts w:hint="eastAsia" w:ascii="宋体" w:hAnsi="宋体" w:cs="宋体"/>
          <w:color w:val="auto"/>
          <w:szCs w:val="21"/>
          <w:highlight w:val="none"/>
        </w:rPr>
        <w:t xml:space="preserve">作为本项目的项目负责人</w:t>
      </w:r>
      <w:r>
        <w:rPr>
          <w:rFonts w:hint="eastAsia" w:ascii="仿宋_GB2312" w:eastAsia="仿宋_GB2312"/>
          <w:color w:val="auto"/>
          <w:sz w:val="24"/>
          <w:highlight w:val="none"/>
        </w:rPr>
        <w:t xml:space="preserve">，</w:t>
      </w:r>
      <w:r>
        <w:rPr>
          <w:rFonts w:hint="eastAsia" w:ascii="宋体" w:hAnsi="宋体" w:cs="宋体"/>
          <w:color w:val="auto"/>
          <w:szCs w:val="21"/>
          <w:highlight w:val="none"/>
          <w:lang w:val="zh-CN"/>
        </w:rPr>
        <w:t xml:space="preserve">根据采购文件的规定严格履行合同，并保证于承诺的时间完成服务的启动/集成、调试等服务，交付采购人验收、使用。</w:t>
      </w:r>
      <w:r/>
    </w:p>
    <w:p>
      <w:pPr>
        <w:ind w:firstLine="420"/>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6、我方决不提供虚假材料谋取中标、决不采取不正当手段诋毁、排挤其他供应商、决不与采购人、其它供应商或者采购代理机构恶意串通、决不向采购人、采购代理工作人员和评委进行商业贿赂、决不在采购过程中与采购人进行协商谈判、决不拒绝有关部门监督检查或提供虚假情况，如有违反，无条件接受贵方及相关管理部门的处罚。</w:t>
      </w:r>
      <w:r/>
    </w:p>
    <w:p>
      <w:pPr>
        <w:ind w:firstLine="420"/>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7、与本投标有关的正式联系方式为：</w:t>
      </w:r>
      <w:r/>
    </w:p>
    <w:p>
      <w:pPr>
        <w:ind w:firstLine="420"/>
        <w:spacing w:line="440" w:lineRule="exact"/>
        <w:rPr>
          <w:rFonts w:hint="eastAsia" w:ascii="宋体" w:hAnsi="宋体" w:cs="宋体"/>
          <w:color w:val="auto"/>
          <w:szCs w:val="21"/>
          <w:highlight w:val="none"/>
          <w:u w:val="single"/>
          <w:lang w:val="zh-CN"/>
        </w:rPr>
      </w:pPr>
      <w:r>
        <w:rPr>
          <w:rFonts w:hint="eastAsia" w:ascii="宋体" w:hAnsi="宋体" w:cs="宋体"/>
          <w:color w:val="auto"/>
          <w:szCs w:val="21"/>
          <w:highlight w:val="none"/>
          <w:lang w:val="zh-CN"/>
        </w:rPr>
        <w:t xml:space="preserve">地址：</w:t>
      </w:r>
      <w:r/>
    </w:p>
    <w:p>
      <w:pPr>
        <w:ind w:firstLine="420"/>
        <w:spacing w:line="440" w:lineRule="exact"/>
        <w:rPr>
          <w:rFonts w:hint="eastAsia" w:ascii="宋体" w:hAnsi="宋体" w:cs="宋体"/>
          <w:color w:val="auto"/>
          <w:szCs w:val="21"/>
          <w:highlight w:val="none"/>
          <w:u w:val="single"/>
          <w:lang w:val="zh-CN"/>
        </w:rPr>
      </w:pPr>
      <w:r>
        <w:rPr>
          <w:rFonts w:hint="eastAsia" w:ascii="宋体" w:hAnsi="宋体" w:cs="宋体"/>
          <w:color w:val="auto"/>
          <w:szCs w:val="21"/>
          <w:highlight w:val="none"/>
          <w:lang w:val="zh-CN"/>
        </w:rPr>
        <w:t xml:space="preserve">电话：</w:t>
      </w:r>
      <w:r/>
    </w:p>
    <w:p>
      <w:pPr>
        <w:ind w:firstLine="420"/>
        <w:spacing w:line="440" w:lineRule="exact"/>
        <w:rPr>
          <w:rFonts w:hint="eastAsia" w:ascii="宋体" w:hAnsi="宋体" w:cs="宋体"/>
          <w:color w:val="auto"/>
          <w:szCs w:val="21"/>
          <w:highlight w:val="none"/>
          <w:u w:val="single"/>
          <w:lang w:val="zh-CN"/>
        </w:rPr>
      </w:pPr>
      <w:r>
        <w:rPr>
          <w:rFonts w:hint="eastAsia" w:ascii="宋体" w:hAnsi="宋体" w:cs="宋体"/>
          <w:color w:val="auto"/>
          <w:szCs w:val="21"/>
          <w:highlight w:val="none"/>
          <w:lang w:val="zh-CN"/>
        </w:rPr>
        <w:t xml:space="preserve">传真：</w:t>
      </w:r>
      <w:r/>
    </w:p>
    <w:p>
      <w:pPr>
        <w:ind w:firstLine="420"/>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开户银行：</w:t>
      </w:r>
      <w:r/>
    </w:p>
    <w:p>
      <w:pPr>
        <w:ind w:firstLine="420"/>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银行账号：</w:t>
      </w:r>
      <w:r/>
    </w:p>
    <w:p>
      <w:pPr>
        <w:ind w:firstLine="420"/>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供应商名称：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加盖电子公章</w:t>
      </w:r>
      <w:r>
        <w:rPr>
          <w:rFonts w:hint="eastAsia" w:ascii="宋体" w:hAnsi="宋体" w:cs="宋体"/>
          <w:color w:val="auto"/>
          <w:szCs w:val="21"/>
          <w:highlight w:val="none"/>
          <w:lang w:val="zh-CN"/>
        </w:rPr>
        <w:t xml:space="preserve">）</w:t>
      </w:r>
      <w:r/>
    </w:p>
    <w:p>
      <w:pPr>
        <w:ind w:firstLine="420"/>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日期：</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年</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月</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日</w:t>
      </w:r>
      <w:r/>
    </w:p>
    <w:p>
      <w:pPr>
        <w:pStyle w:val="807"/>
        <w:rPr>
          <w:b/>
          <w:color w:val="auto"/>
          <w:szCs w:val="32"/>
          <w:highlight w:val="none"/>
          <w:lang w:val="zh-CN"/>
        </w:rPr>
      </w:pPr>
      <w:r>
        <w:rPr>
          <w:rFonts w:hint="eastAsia" w:ascii="宋体" w:hAnsi="宋体" w:cs="宋体"/>
          <w:b/>
          <w:color w:val="auto"/>
          <w:szCs w:val="21"/>
          <w:highlight w:val="none"/>
          <w:lang w:val="zh-CN"/>
        </w:rPr>
        <w:br w:type="page" w:clear="all"/>
      </w:r>
      <w:r>
        <w:rPr>
          <w:rFonts w:hint="eastAsia"/>
          <w:color w:val="auto"/>
        </w:rPr>
        <w:t xml:space="preserve">八</w:t>
      </w:r>
      <w:r>
        <w:rPr>
          <w:rFonts w:hint="eastAsia"/>
          <w:color w:val="auto"/>
          <w:lang w:val="zh-CN"/>
        </w:rPr>
        <w:t xml:space="preserve">、法定代表人身份证明或授权委托书</w:t>
      </w:r>
      <w:r/>
    </w:p>
    <w:p>
      <w:pPr>
        <w:jc w:val="center"/>
        <w:spacing w:line="360" w:lineRule="auto"/>
        <w:widowControl/>
        <w:rPr>
          <w:rFonts w:hint="eastAsia" w:ascii="宋体" w:hAnsi="宋体" w:cs="宋体"/>
          <w:color w:val="auto"/>
          <w:sz w:val="36"/>
          <w:szCs w:val="36"/>
          <w:highlight w:val="none"/>
          <w:lang w:val="zh-CN"/>
        </w:rPr>
      </w:pPr>
      <w:r>
        <w:rPr>
          <w:rFonts w:hint="eastAsia" w:ascii="宋体" w:hAnsi="宋体" w:cs="宋体"/>
          <w:color w:val="auto"/>
          <w:sz w:val="36"/>
          <w:szCs w:val="36"/>
          <w:highlight w:val="none"/>
          <w:lang w:val="zh-CN"/>
        </w:rPr>
      </w:r>
      <w:r/>
    </w:p>
    <w:p>
      <w:pPr>
        <w:pStyle w:val="1123"/>
        <w:jc w:val="center"/>
        <w:spacing w:line="560" w:lineRule="exact"/>
        <w:rPr>
          <w:rFonts w:ascii="宋体"/>
          <w:b/>
          <w:bCs/>
          <w:color w:val="auto"/>
          <w:sz w:val="32"/>
          <w:szCs w:val="32"/>
          <w:highlight w:val="none"/>
        </w:rPr>
      </w:pPr>
      <w:r/>
      <w:bookmarkStart w:id="81" w:name="_Toc22626_WPSOffice_Level2"/>
      <w:r>
        <w:rPr>
          <w:rFonts w:ascii="宋体"/>
          <w:b/>
          <w:bCs/>
          <w:color w:val="auto"/>
          <w:sz w:val="32"/>
          <w:szCs w:val="32"/>
          <w:highlight w:val="none"/>
        </w:rPr>
        <w:t xml:space="preserve">法定代表人身份证明</w:t>
      </w:r>
      <w:bookmarkEnd w:id="81"/>
      <w:r/>
      <w:r/>
    </w:p>
    <w:p>
      <w:pPr>
        <w:pStyle w:val="1124"/>
        <w:spacing w:line="480" w:lineRule="exact"/>
        <w:rPr>
          <w:rFonts w:eastAsia="仿宋_GB2312"/>
          <w:color w:val="auto"/>
          <w:sz w:val="24"/>
          <w:highlight w:val="none"/>
        </w:rPr>
      </w:pPr>
      <w:r>
        <w:rPr>
          <w:rFonts w:eastAsia="仿宋_GB2312"/>
          <w:color w:val="auto"/>
          <w:sz w:val="24"/>
          <w:highlight w:val="none"/>
        </w:rPr>
      </w:r>
      <w:r/>
    </w:p>
    <w:p>
      <w:pPr>
        <w:pStyle w:val="1124"/>
        <w:spacing w:line="480" w:lineRule="exact"/>
        <w:rPr>
          <w:rFonts w:eastAsia="仿宋_GB2312"/>
          <w:color w:val="auto"/>
          <w:sz w:val="24"/>
          <w:highlight w:val="none"/>
        </w:rPr>
      </w:pPr>
      <w:r>
        <w:rPr>
          <w:rFonts w:hint="eastAsia" w:eastAsia="仿宋_GB2312"/>
          <w:color w:val="auto"/>
          <w:sz w:val="24"/>
          <w:highlight w:val="none"/>
        </w:rPr>
        <w:t xml:space="preserve">供应商</w:t>
      </w:r>
      <w:r>
        <w:rPr>
          <w:rFonts w:eastAsia="仿宋_GB2312"/>
          <w:color w:val="auto"/>
          <w:sz w:val="24"/>
          <w:highlight w:val="none"/>
        </w:rPr>
        <w:t xml:space="preserve">名称：</w:t>
      </w:r>
      <w:r>
        <w:rPr>
          <w:rFonts w:eastAsia="仿宋_GB2312"/>
          <w:color w:val="auto"/>
          <w:sz w:val="24"/>
          <w:highlight w:val="none"/>
          <w:u w:val="single"/>
        </w:rPr>
        <w:t xml:space="preserve">                            </w:t>
      </w:r>
      <w:r>
        <w:rPr>
          <w:rFonts w:eastAsia="仿宋_GB2312"/>
          <w:color w:val="auto"/>
          <w:sz w:val="24"/>
          <w:highlight w:val="none"/>
        </w:rPr>
        <w:t xml:space="preserve"> </w:t>
      </w:r>
      <w:r/>
    </w:p>
    <w:p>
      <w:pPr>
        <w:pStyle w:val="1124"/>
        <w:spacing w:line="480" w:lineRule="exact"/>
        <w:rPr>
          <w:rFonts w:eastAsia="仿宋_GB2312"/>
          <w:color w:val="auto"/>
          <w:sz w:val="24"/>
          <w:highlight w:val="none"/>
        </w:rPr>
      </w:pPr>
      <w:r>
        <w:rPr>
          <w:rFonts w:eastAsia="仿宋_GB2312"/>
          <w:color w:val="auto"/>
          <w:sz w:val="24"/>
          <w:highlight w:val="none"/>
        </w:rPr>
        <w:t xml:space="preserve">单位性质：</w:t>
      </w:r>
      <w:r>
        <w:rPr>
          <w:rFonts w:eastAsia="仿宋_GB2312"/>
          <w:color w:val="auto"/>
          <w:sz w:val="24"/>
          <w:highlight w:val="none"/>
          <w:u w:val="single"/>
        </w:rPr>
        <w:t xml:space="preserve">                               </w:t>
      </w:r>
      <w:r>
        <w:rPr>
          <w:rFonts w:eastAsia="仿宋_GB2312"/>
          <w:color w:val="auto"/>
          <w:sz w:val="24"/>
          <w:highlight w:val="none"/>
        </w:rPr>
        <w:t xml:space="preserve"> </w:t>
      </w:r>
      <w:r/>
    </w:p>
    <w:p>
      <w:pPr>
        <w:pStyle w:val="1124"/>
        <w:spacing w:line="480" w:lineRule="exact"/>
        <w:rPr>
          <w:rFonts w:eastAsia="仿宋_GB2312"/>
          <w:color w:val="auto"/>
          <w:sz w:val="24"/>
          <w:highlight w:val="none"/>
        </w:rPr>
      </w:pPr>
      <w:r>
        <w:rPr>
          <w:rFonts w:eastAsia="仿宋_GB2312"/>
          <w:color w:val="auto"/>
          <w:sz w:val="24"/>
          <w:highlight w:val="none"/>
        </w:rPr>
        <w:t xml:space="preserve">地址：</w:t>
      </w:r>
      <w:r>
        <w:rPr>
          <w:rFonts w:eastAsia="仿宋_GB2312"/>
          <w:color w:val="auto"/>
          <w:sz w:val="24"/>
          <w:highlight w:val="none"/>
          <w:u w:val="single"/>
        </w:rPr>
        <w:t xml:space="preserve">                                   </w:t>
      </w:r>
      <w:r/>
    </w:p>
    <w:p>
      <w:pPr>
        <w:pStyle w:val="1124"/>
        <w:spacing w:line="480" w:lineRule="exact"/>
        <w:rPr>
          <w:rFonts w:eastAsia="仿宋_GB2312"/>
          <w:color w:val="auto"/>
          <w:sz w:val="24"/>
          <w:highlight w:val="none"/>
        </w:rPr>
      </w:pPr>
      <w:r>
        <w:rPr>
          <w:rFonts w:eastAsia="仿宋_GB2312"/>
          <w:color w:val="auto"/>
          <w:sz w:val="24"/>
          <w:highlight w:val="none"/>
        </w:rPr>
        <w:t xml:space="preserve">成立时间：</w:t>
      </w:r>
      <w:r>
        <w:rPr>
          <w:rFonts w:eastAsia="仿宋_GB2312"/>
          <w:color w:val="auto"/>
          <w:sz w:val="24"/>
          <w:highlight w:val="none"/>
          <w:u w:val="single"/>
        </w:rPr>
        <w:t xml:space="preserve">         </w:t>
      </w:r>
      <w:r>
        <w:rPr>
          <w:rFonts w:eastAsia="仿宋_GB2312"/>
          <w:color w:val="auto"/>
          <w:sz w:val="24"/>
          <w:highlight w:val="none"/>
        </w:rPr>
        <w:t xml:space="preserve"> 年</w:t>
      </w:r>
      <w:r>
        <w:rPr>
          <w:rFonts w:eastAsia="仿宋_GB2312"/>
          <w:color w:val="auto"/>
          <w:sz w:val="24"/>
          <w:highlight w:val="none"/>
          <w:u w:val="single"/>
        </w:rPr>
        <w:t xml:space="preserve">       </w:t>
      </w:r>
      <w:r>
        <w:rPr>
          <w:rFonts w:eastAsia="仿宋_GB2312"/>
          <w:color w:val="auto"/>
          <w:sz w:val="24"/>
          <w:highlight w:val="none"/>
        </w:rPr>
        <w:t xml:space="preserve"> 月</w:t>
      </w:r>
      <w:r>
        <w:rPr>
          <w:rFonts w:eastAsia="仿宋_GB2312"/>
          <w:color w:val="auto"/>
          <w:sz w:val="24"/>
          <w:highlight w:val="none"/>
          <w:u w:val="single"/>
        </w:rPr>
        <w:t xml:space="preserve">       </w:t>
      </w:r>
      <w:r>
        <w:rPr>
          <w:rFonts w:eastAsia="仿宋_GB2312"/>
          <w:color w:val="auto"/>
          <w:sz w:val="24"/>
          <w:highlight w:val="none"/>
        </w:rPr>
        <w:t xml:space="preserve"> 日</w:t>
      </w:r>
      <w:r/>
    </w:p>
    <w:p>
      <w:pPr>
        <w:pStyle w:val="1124"/>
        <w:spacing w:line="480" w:lineRule="exact"/>
        <w:rPr>
          <w:rFonts w:eastAsia="仿宋_GB2312"/>
          <w:color w:val="auto"/>
          <w:sz w:val="24"/>
          <w:highlight w:val="none"/>
        </w:rPr>
      </w:pPr>
      <w:r>
        <w:rPr>
          <w:rFonts w:eastAsia="仿宋_GB2312"/>
          <w:color w:val="auto"/>
          <w:sz w:val="24"/>
          <w:highlight w:val="none"/>
        </w:rPr>
        <w:t xml:space="preserve">经营期限：</w:t>
      </w:r>
      <w:r>
        <w:rPr>
          <w:rFonts w:eastAsia="仿宋_GB2312"/>
          <w:color w:val="auto"/>
          <w:sz w:val="24"/>
          <w:highlight w:val="none"/>
          <w:u w:val="single"/>
        </w:rPr>
        <w:t xml:space="preserve">                               </w:t>
      </w:r>
      <w:r/>
    </w:p>
    <w:p>
      <w:pPr>
        <w:pStyle w:val="1124"/>
        <w:spacing w:line="480" w:lineRule="exact"/>
        <w:rPr>
          <w:rFonts w:eastAsia="仿宋_GB2312"/>
          <w:color w:val="auto"/>
          <w:sz w:val="24"/>
          <w:highlight w:val="none"/>
        </w:rPr>
      </w:pPr>
      <w:r>
        <w:rPr>
          <w:rFonts w:eastAsia="仿宋_GB2312"/>
          <w:color w:val="auto"/>
          <w:sz w:val="24"/>
          <w:highlight w:val="none"/>
        </w:rPr>
        <w:t xml:space="preserve">姓名：</w:t>
      </w:r>
      <w:r>
        <w:rPr>
          <w:rFonts w:eastAsia="仿宋_GB2312"/>
          <w:color w:val="auto"/>
          <w:sz w:val="24"/>
          <w:highlight w:val="none"/>
          <w:u w:val="single"/>
        </w:rPr>
        <w:t xml:space="preserve">        </w:t>
      </w:r>
      <w:r>
        <w:rPr>
          <w:rFonts w:eastAsia="仿宋_GB2312"/>
          <w:color w:val="auto"/>
          <w:sz w:val="24"/>
          <w:highlight w:val="none"/>
        </w:rPr>
        <w:t xml:space="preserve"> 性别：</w:t>
      </w:r>
      <w:r>
        <w:rPr>
          <w:rFonts w:eastAsia="仿宋_GB2312"/>
          <w:color w:val="auto"/>
          <w:sz w:val="24"/>
          <w:highlight w:val="none"/>
          <w:u w:val="single"/>
        </w:rPr>
        <w:t xml:space="preserve">         </w:t>
      </w:r>
      <w:r>
        <w:rPr>
          <w:rFonts w:eastAsia="仿宋_GB2312"/>
          <w:color w:val="auto"/>
          <w:sz w:val="24"/>
          <w:highlight w:val="none"/>
        </w:rPr>
        <w:t xml:space="preserve"> 年龄：</w:t>
      </w:r>
      <w:r>
        <w:rPr>
          <w:rFonts w:eastAsia="仿宋_GB2312"/>
          <w:color w:val="auto"/>
          <w:sz w:val="24"/>
          <w:highlight w:val="none"/>
          <w:u w:val="single"/>
        </w:rPr>
        <w:t xml:space="preserve">        </w:t>
      </w:r>
      <w:r>
        <w:rPr>
          <w:rFonts w:eastAsia="仿宋_GB2312"/>
          <w:color w:val="auto"/>
          <w:sz w:val="24"/>
          <w:highlight w:val="none"/>
        </w:rPr>
        <w:t xml:space="preserve">职务：</w:t>
      </w:r>
      <w:r>
        <w:rPr>
          <w:rFonts w:eastAsia="仿宋_GB2312"/>
          <w:color w:val="auto"/>
          <w:sz w:val="24"/>
          <w:highlight w:val="none"/>
          <w:u w:val="single"/>
        </w:rPr>
        <w:t xml:space="preserve">        </w:t>
      </w:r>
      <w:r>
        <w:rPr>
          <w:rFonts w:eastAsia="仿宋_GB2312"/>
          <w:color w:val="auto"/>
          <w:sz w:val="24"/>
          <w:highlight w:val="none"/>
        </w:rPr>
        <w:t xml:space="preserve">系</w:t>
      </w:r>
      <w:r/>
    </w:p>
    <w:p>
      <w:pPr>
        <w:pStyle w:val="1124"/>
        <w:spacing w:line="480" w:lineRule="exact"/>
        <w:rPr>
          <w:rFonts w:eastAsia="仿宋_GB2312"/>
          <w:color w:val="auto"/>
          <w:sz w:val="24"/>
          <w:highlight w:val="none"/>
        </w:rPr>
      </w:pPr>
      <w:r>
        <w:rPr>
          <w:rFonts w:eastAsia="仿宋_GB2312"/>
          <w:color w:val="auto"/>
          <w:sz w:val="24"/>
          <w:highlight w:val="none"/>
          <w:u w:val="single"/>
        </w:rPr>
        <w:t xml:space="preserve">                             </w:t>
      </w:r>
      <w:r>
        <w:rPr>
          <w:rFonts w:eastAsia="仿宋_GB2312"/>
          <w:color w:val="auto"/>
          <w:sz w:val="24"/>
          <w:highlight w:val="none"/>
        </w:rPr>
        <w:t xml:space="preserve"> （投标人名称）的法定代表人。</w:t>
      </w:r>
      <w:r/>
    </w:p>
    <w:p>
      <w:pPr>
        <w:pStyle w:val="1124"/>
        <w:ind w:firstLine="480"/>
        <w:spacing w:line="480" w:lineRule="exact"/>
        <w:rPr>
          <w:rFonts w:eastAsia="仿宋_GB2312"/>
          <w:color w:val="auto"/>
          <w:sz w:val="24"/>
          <w:highlight w:val="none"/>
        </w:rPr>
      </w:pPr>
      <w:r>
        <w:rPr>
          <w:rFonts w:eastAsia="仿宋_GB2312"/>
          <w:color w:val="auto"/>
          <w:sz w:val="24"/>
          <w:highlight w:val="none"/>
        </w:rPr>
        <w:t xml:space="preserve">特此证明。</w:t>
      </w:r>
      <w:r/>
    </w:p>
    <w:p>
      <w:pPr>
        <w:pStyle w:val="1125"/>
        <w:spacing w:line="600" w:lineRule="exact"/>
        <w:rPr>
          <w:rFonts w:ascii="仿宋_GB2312" w:eastAsia="仿宋_GB2312"/>
          <w:b/>
          <w:color w:val="auto"/>
          <w:sz w:val="24"/>
          <w:highlight w:val="none"/>
        </w:rPr>
      </w:pPr>
      <w:r>
        <w:rPr>
          <w:rFonts w:hint="eastAsia" w:ascii="仿宋_GB2312" w:eastAsia="仿宋_GB2312"/>
          <w:b/>
          <w:color w:val="auto"/>
          <w:sz w:val="24"/>
          <w:highlight w:val="none"/>
        </w:rPr>
        <w:t xml:space="preserve">（法定代表人出席开标会议的提供，未出席的可不提供。附法定代表人身份证、扫描件。）</w:t>
      </w:r>
      <w:r/>
    </w:p>
    <w:p>
      <w:pPr>
        <w:pStyle w:val="1124"/>
        <w:ind w:firstLine="480"/>
        <w:spacing w:line="480" w:lineRule="exact"/>
        <w:rPr>
          <w:rFonts w:eastAsia="仿宋_GB2312"/>
          <w:color w:val="auto"/>
          <w:sz w:val="24"/>
          <w:highlight w:val="none"/>
        </w:rPr>
      </w:pPr>
      <w:r>
        <w:rPr>
          <w:rFonts w:eastAsia="仿宋_GB2312"/>
          <w:color w:val="auto"/>
          <w:sz w:val="24"/>
          <w:highlight w:val="none"/>
        </w:rPr>
      </w:r>
      <w:r/>
    </w:p>
    <w:p>
      <w:pPr>
        <w:pStyle w:val="1124"/>
        <w:jc w:val="right"/>
        <w:spacing w:line="480" w:lineRule="exact"/>
        <w:rPr>
          <w:rFonts w:eastAsia="仿宋_GB2312"/>
          <w:color w:val="auto"/>
          <w:sz w:val="24"/>
          <w:highlight w:val="none"/>
        </w:rPr>
      </w:pPr>
      <w:r>
        <w:rPr>
          <w:rFonts w:eastAsia="仿宋_GB2312"/>
          <w:color w:val="auto"/>
          <w:sz w:val="24"/>
          <w:highlight w:val="none"/>
        </w:rPr>
        <w:t xml:space="preserve">                       </w:t>
      </w:r>
      <w:r/>
    </w:p>
    <w:p>
      <w:pPr>
        <w:pStyle w:val="1124"/>
        <w:jc w:val="right"/>
        <w:spacing w:line="480" w:lineRule="exact"/>
        <w:rPr>
          <w:rFonts w:eastAsia="仿宋_GB2312"/>
          <w:color w:val="auto"/>
          <w:sz w:val="24"/>
          <w:highlight w:val="none"/>
        </w:rPr>
      </w:pPr>
      <w:r>
        <w:rPr>
          <w:rFonts w:eastAsia="仿宋_GB2312"/>
          <w:color w:val="auto"/>
          <w:sz w:val="24"/>
          <w:highlight w:val="none"/>
        </w:rPr>
      </w:r>
      <w:r/>
    </w:p>
    <w:p>
      <w:pPr>
        <w:pStyle w:val="1124"/>
        <w:jc w:val="right"/>
        <w:spacing w:line="480" w:lineRule="exact"/>
        <w:rPr>
          <w:rFonts w:eastAsia="仿宋_GB2312"/>
          <w:color w:val="auto"/>
          <w:sz w:val="24"/>
          <w:highlight w:val="none"/>
        </w:rPr>
      </w:pPr>
      <w:r>
        <w:rPr>
          <w:rFonts w:eastAsia="仿宋_GB2312"/>
          <w:color w:val="auto"/>
          <w:sz w:val="24"/>
          <w:highlight w:val="none"/>
        </w:rPr>
      </w:r>
      <w:r/>
    </w:p>
    <w:p>
      <w:pPr>
        <w:jc w:val="right"/>
        <w:spacing w:line="460" w:lineRule="exact"/>
        <w:rPr>
          <w:rFonts w:hint="eastAsia" w:ascii="宋体" w:hAnsi="宋体" w:cs="宋体"/>
          <w:color w:val="auto"/>
          <w:sz w:val="30"/>
          <w:szCs w:val="30"/>
          <w:highlight w:val="none"/>
        </w:rPr>
      </w:pPr>
      <w:r>
        <w:rPr>
          <w:rFonts w:hint="eastAsia" w:ascii="仿宋_GB2312" w:eastAsia="仿宋_GB2312"/>
          <w:color w:val="auto"/>
          <w:sz w:val="24"/>
          <w:highlight w:val="none"/>
        </w:rPr>
        <w:t xml:space="preserve">单位名称：</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宋体" w:hAnsi="宋体" w:cs="宋体"/>
          <w:color w:val="auto"/>
          <w:highlight w:val="none"/>
        </w:rPr>
        <w:t xml:space="preserve">（加盖电子公章）</w:t>
      </w:r>
      <w:r/>
    </w:p>
    <w:p>
      <w:pPr>
        <w:pStyle w:val="1125"/>
        <w:ind w:firstLine="445"/>
        <w:jc w:val="right"/>
        <w:spacing w:line="700" w:lineRule="exact"/>
        <w:rPr>
          <w:rFonts w:ascii="仿宋_GB2312" w:eastAsia="仿宋_GB2312"/>
          <w:color w:val="auto"/>
          <w:sz w:val="24"/>
          <w:highlight w:val="none"/>
        </w:rPr>
      </w:pPr>
      <w:r>
        <w:rPr>
          <w:rFonts w:ascii="仿宋_GB2312" w:eastAsia="仿宋_GB2312"/>
          <w:color w:val="auto"/>
          <w:sz w:val="24"/>
          <w:highlight w:val="none"/>
        </w:rPr>
      </w:r>
      <w:r/>
    </w:p>
    <w:p>
      <w:pPr>
        <w:pStyle w:val="1123"/>
        <w:ind w:firstLine="424"/>
        <w:jc w:val="right"/>
        <w:spacing w:line="56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（签字或签章）</w:t>
      </w:r>
      <w:r/>
    </w:p>
    <w:p>
      <w:pPr>
        <w:pStyle w:val="1126"/>
        <w:ind w:firstLine="988"/>
        <w:jc w:val="right"/>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1123"/>
        <w:jc w:val="center"/>
        <w:spacing w:line="560" w:lineRule="exact"/>
        <w:rPr>
          <w:rFonts w:ascii="宋体"/>
          <w:b/>
          <w:bCs/>
          <w:color w:val="auto"/>
          <w:sz w:val="32"/>
          <w:szCs w:val="32"/>
          <w:highlight w:val="none"/>
        </w:rPr>
      </w:pPr>
      <w:r>
        <w:rPr>
          <w:rFonts w:ascii="仿宋_GB2312" w:eastAsia="仿宋_GB2312"/>
          <w:color w:val="auto"/>
          <w:sz w:val="24"/>
          <w:highlight w:val="none"/>
        </w:rPr>
        <w:br w:type="page" w:clear="all"/>
      </w:r>
      <w:bookmarkStart w:id="82" w:name="_Toc406_WPSOffice_Level2"/>
      <w:r>
        <w:rPr>
          <w:rFonts w:hint="eastAsia" w:ascii="宋体"/>
          <w:b/>
          <w:bCs/>
          <w:color w:val="auto"/>
          <w:sz w:val="32"/>
          <w:szCs w:val="32"/>
          <w:highlight w:val="none"/>
        </w:rPr>
        <w:t xml:space="preserve">法定代表人授权委托书</w:t>
      </w:r>
      <w:bookmarkEnd w:id="82"/>
      <w:r/>
      <w:r/>
    </w:p>
    <w:p>
      <w:pPr>
        <w:pStyle w:val="1123"/>
        <w:spacing w:line="600" w:lineRule="exact"/>
        <w:rPr>
          <w:rFonts w:ascii="方正大标宋简体" w:eastAsia="方正大标宋简体"/>
          <w:color w:val="auto"/>
          <w:sz w:val="32"/>
          <w:highlight w:val="none"/>
        </w:rPr>
      </w:pPr>
      <w:r>
        <w:rPr>
          <w:rFonts w:ascii="方正大标宋简体" w:eastAsia="方正大标宋简体"/>
          <w:color w:val="auto"/>
          <w:sz w:val="32"/>
          <w:highlight w:val="none"/>
        </w:rPr>
      </w:r>
      <w:r/>
    </w:p>
    <w:p>
      <w:pPr>
        <w:pStyle w:val="1124"/>
        <w:rPr>
          <w:color w:val="auto"/>
          <w:sz w:val="32"/>
          <w:szCs w:val="32"/>
          <w:highlight w:val="none"/>
          <w:u w:val="single"/>
        </w:rPr>
      </w:pPr>
      <w:r>
        <w:rPr>
          <w:rFonts w:hint="eastAsia"/>
          <w:color w:val="auto"/>
          <w:sz w:val="32"/>
          <w:szCs w:val="32"/>
          <w:highlight w:val="none"/>
          <w:u w:val="single"/>
        </w:rPr>
        <w:t xml:space="preserve">          </w:t>
      </w:r>
      <w:r>
        <w:rPr>
          <w:rFonts w:hint="eastAsia" w:ascii="仿宋_GB2312" w:eastAsia="仿宋_GB2312"/>
          <w:color w:val="auto"/>
          <w:sz w:val="24"/>
          <w:highlight w:val="none"/>
          <w:u w:val="single"/>
        </w:rPr>
        <w:t xml:space="preserve">（采购人名称）</w:t>
      </w:r>
      <w:r>
        <w:rPr>
          <w:rFonts w:hint="eastAsia" w:ascii="仿宋_GB2312" w:eastAsia="仿宋_GB2312"/>
          <w:color w:val="auto"/>
          <w:sz w:val="24"/>
          <w:highlight w:val="none"/>
        </w:rPr>
        <w:t xml:space="preserve">：</w:t>
      </w:r>
      <w:r/>
    </w:p>
    <w:p>
      <w:pPr>
        <w:pStyle w:val="1123"/>
        <w:spacing w:line="600" w:lineRule="exact"/>
        <w:rPr>
          <w:rFonts w:ascii="仿宋_GB2312" w:eastAsia="仿宋_GB2312"/>
          <w:color w:val="auto"/>
          <w:sz w:val="24"/>
          <w:highlight w:val="none"/>
        </w:rPr>
      </w:pPr>
      <w:r>
        <w:rPr>
          <w:rFonts w:hint="eastAsia" w:ascii="仿宋_GB2312" w:eastAsia="仿宋_GB2312"/>
          <w:color w:val="auto"/>
          <w:sz w:val="24"/>
          <w:highlight w:val="none"/>
          <w:u w:val="single"/>
        </w:rPr>
        <w:t xml:space="preserve">      （单位名称）</w:t>
      </w:r>
      <w:r>
        <w:rPr>
          <w:rFonts w:hint="eastAsia" w:ascii="仿宋_GB2312" w:eastAsia="仿宋_GB2312"/>
          <w:color w:val="auto"/>
          <w:sz w:val="24"/>
          <w:highlight w:val="none"/>
        </w:rPr>
        <w:t xml:space="preserve">法定代表人授权我单位</w:t>
      </w:r>
      <w:r>
        <w:rPr>
          <w:rFonts w:hint="eastAsia" w:ascii="仿宋_GB2312" w:eastAsia="仿宋_GB2312"/>
          <w:color w:val="auto"/>
          <w:sz w:val="24"/>
          <w:highlight w:val="none"/>
          <w:u w:val="single"/>
        </w:rPr>
        <w:t xml:space="preserve">    （职务或职称）   （姓名）</w:t>
      </w:r>
      <w:r>
        <w:rPr>
          <w:rFonts w:hint="eastAsia" w:ascii="仿宋_GB2312" w:eastAsia="仿宋_GB2312"/>
          <w:color w:val="auto"/>
          <w:sz w:val="24"/>
          <w:highlight w:val="none"/>
        </w:rPr>
        <w:t xml:space="preserve">为我单位本次授权代理人，全权处理此次</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公开招标活动的一切事宜。</w:t>
      </w:r>
      <w:r/>
    </w:p>
    <w:p>
      <w:pPr>
        <w:pStyle w:val="1123"/>
        <w:ind w:firstLine="63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特此授权</w:t>
      </w:r>
      <w:r/>
    </w:p>
    <w:p>
      <w:pPr>
        <w:pStyle w:val="1127"/>
        <w:ind w:firstLine="482"/>
        <w:spacing w:line="560" w:lineRule="exact"/>
        <w:rPr>
          <w:rFonts w:ascii="仿宋_GB2312" w:eastAsia="仿宋_GB2312"/>
          <w:b/>
          <w:color w:val="auto"/>
          <w:sz w:val="24"/>
          <w:highlight w:val="none"/>
        </w:rPr>
      </w:pPr>
      <w:r>
        <w:rPr>
          <w:rFonts w:hint="eastAsia" w:ascii="仿宋_GB2312" w:eastAsia="仿宋_GB2312"/>
          <w:b/>
          <w:color w:val="auto"/>
          <w:sz w:val="24"/>
          <w:highlight w:val="none"/>
        </w:rPr>
        <w:t xml:space="preserve">（授权委托人出席开标会议的提供法定代表人、授权委托人身份证扫描件。）</w:t>
      </w:r>
      <w:r/>
    </w:p>
    <w:p>
      <w:pPr>
        <w:pStyle w:val="1123"/>
        <w:ind w:firstLine="480"/>
        <w:spacing w:line="560" w:lineRule="exact"/>
        <w:rPr>
          <w:rFonts w:ascii="仿宋_GB2312" w:eastAsia="仿宋_GB2312"/>
          <w:color w:val="auto"/>
          <w:sz w:val="24"/>
          <w:highlight w:val="none"/>
        </w:rPr>
      </w:pPr>
      <w:r/>
      <w:bookmarkStart w:id="121" w:name="_GoBack"/>
      <w:r/>
      <w:bookmarkEnd w:id="121"/>
      <w:r/>
      <w:r/>
    </w:p>
    <w:p>
      <w:pPr>
        <w:pStyle w:val="1127"/>
        <w:ind w:firstLine="630"/>
        <w:spacing w:line="600" w:lineRule="exact"/>
        <w:rPr>
          <w:rFonts w:ascii="仿宋_GB2312" w:eastAsia="仿宋_GB2312"/>
          <w:b/>
          <w:color w:val="auto"/>
          <w:sz w:val="24"/>
          <w:highlight w:val="none"/>
        </w:rPr>
      </w:pPr>
      <w:r>
        <w:rPr>
          <w:rFonts w:ascii="仿宋_GB2312" w:eastAsia="仿宋_GB2312"/>
          <w:b/>
          <w:color w:val="auto"/>
          <w:sz w:val="24"/>
          <w:highlight w:val="none"/>
        </w:rPr>
      </w:r>
      <w:r/>
    </w:p>
    <w:p>
      <w:pPr>
        <w:ind w:firstLine="3990"/>
        <w:jc w:val="right"/>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法定代表人签字或盖章：</w:t>
      </w:r>
      <w:r/>
    </w:p>
    <w:p>
      <w:pPr>
        <w:jc w:val="right"/>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供应商名称：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加盖电子公章</w:t>
      </w:r>
      <w:r>
        <w:rPr>
          <w:rFonts w:hint="eastAsia" w:ascii="宋体" w:hAnsi="宋体" w:cs="宋体"/>
          <w:color w:val="auto"/>
          <w:szCs w:val="21"/>
          <w:highlight w:val="none"/>
          <w:lang w:val="zh-CN"/>
        </w:rPr>
        <w:t xml:space="preserve">）</w:t>
      </w:r>
      <w:r/>
    </w:p>
    <w:p>
      <w:pPr>
        <w:pStyle w:val="1123"/>
        <w:ind w:firstLine="629"/>
        <w:jc w:val="right"/>
        <w:spacing w:line="700" w:lineRule="exact"/>
        <w:rPr>
          <w:rFonts w:ascii="仿宋_GB2312" w:eastAsia="仿宋_GB2312"/>
          <w:color w:val="auto"/>
          <w:sz w:val="24"/>
          <w:highlight w:val="none"/>
        </w:rPr>
      </w:pPr>
      <w:r>
        <w:rPr>
          <w:rFonts w:ascii="仿宋_GB2312" w:eastAsia="仿宋_GB2312"/>
          <w:color w:val="auto"/>
          <w:sz w:val="24"/>
          <w:highlight w:val="none"/>
        </w:rPr>
      </w:r>
      <w:r/>
    </w:p>
    <w:p>
      <w:pPr>
        <w:pStyle w:val="1128"/>
        <w:ind w:firstLine="720"/>
        <w:jc w:val="right"/>
        <w:rPr>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1120"/>
        <w:jc w:val="left"/>
        <w:spacing w:line="580" w:lineRule="exact"/>
        <w:tabs>
          <w:tab w:val="left" w:pos="1498" w:leader="none"/>
        </w:tabs>
        <w:rPr>
          <w:rFonts w:hint="eastAsia" w:ascii="宋体" w:hAnsi="宋体" w:cs="宋体"/>
          <w:b/>
          <w:color w:val="auto"/>
          <w:szCs w:val="21"/>
          <w:highlight w:val="none"/>
          <w:lang w:val="zh-CN"/>
        </w:rPr>
      </w:pPr>
      <w:r>
        <w:rPr>
          <w:color w:val="auto"/>
          <w:highlight w:val="none"/>
        </w:rPr>
        <w:br w:type="page" w:clear="all"/>
      </w:r>
      <w:bookmarkStart w:id="83" w:name="_Toc12853"/>
      <w:r/>
      <w:bookmarkStart w:id="84" w:name="_Toc514054494"/>
      <w:r>
        <w:rPr>
          <w:rFonts w:hint="eastAsia"/>
          <w:b/>
          <w:color w:val="auto"/>
          <w:sz w:val="32"/>
          <w:szCs w:val="32"/>
          <w:highlight w:val="none"/>
        </w:rPr>
        <w:t xml:space="preserve">九、</w:t>
      </w:r>
      <w:r>
        <w:rPr>
          <w:rFonts w:hint="eastAsia"/>
          <w:b/>
          <w:color w:val="auto"/>
          <w:sz w:val="32"/>
          <w:szCs w:val="32"/>
          <w:highlight w:val="none"/>
          <w:lang w:val="zh-CN"/>
        </w:rPr>
        <w:t xml:space="preserve">开标一览表</w:t>
      </w:r>
      <w:bookmarkEnd w:id="83"/>
      <w:r/>
      <w:bookmarkEnd w:id="84"/>
      <w:r/>
      <w:r/>
    </w:p>
    <w:p>
      <w:pPr>
        <w:jc w:val="center"/>
        <w:spacing w:line="360" w:lineRule="auto"/>
        <w:widowControl/>
        <w:rPr>
          <w:rFonts w:hint="eastAsia" w:ascii="宋体" w:hAnsi="宋体" w:cs="宋体"/>
          <w:color w:val="auto"/>
          <w:sz w:val="36"/>
          <w:szCs w:val="36"/>
          <w:highlight w:val="none"/>
          <w:lang w:val="zh-CN"/>
        </w:rPr>
      </w:pPr>
      <w:r>
        <w:rPr>
          <w:rFonts w:hint="eastAsia" w:ascii="宋体" w:hAnsi="宋体" w:cs="宋体"/>
          <w:color w:val="auto"/>
          <w:sz w:val="36"/>
          <w:szCs w:val="36"/>
          <w:highlight w:val="none"/>
          <w:lang w:val="zh-CN"/>
        </w:rPr>
        <w:t xml:space="preserve">开标一览表</w:t>
      </w:r>
      <w:r/>
    </w:p>
    <w:tbl>
      <w:tblPr>
        <w:tblStyle w:val="816"/>
        <w:tblW w:w="0" w:type="auto"/>
        <w:tblInd w:w="-2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34"/>
        <w:gridCol w:w="2531"/>
        <w:gridCol w:w="2680"/>
        <w:gridCol w:w="93"/>
        <w:gridCol w:w="1608"/>
        <w:gridCol w:w="1739"/>
      </w:tblGrid>
      <w:tr>
        <w:trPr>
          <w:trHeight w:val="284"/>
        </w:trPr>
        <w:tc>
          <w:tcPr>
            <w:gridSpan w:val="4"/>
            <w:tcBorders>
              <w:top w:val="none" w:color="000000" w:sz="4" w:space="0"/>
              <w:left w:val="none" w:color="000000" w:sz="4" w:space="0"/>
              <w:right w:val="none" w:color="000000" w:sz="4" w:space="0"/>
            </w:tcBorders>
            <w:tcW w:w="6038" w:type="dxa"/>
            <w:vAlign w:val="center"/>
            <w:textDirection w:val="lrTb"/>
            <w:noWrap w:val="false"/>
          </w:tcPr>
          <w:p>
            <w:pPr>
              <w:jc w:val="left"/>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项目名称： </w:t>
            </w:r>
            <w:r/>
          </w:p>
        </w:tc>
        <w:tc>
          <w:tcPr>
            <w:gridSpan w:val="2"/>
            <w:tcBorders>
              <w:top w:val="none" w:color="000000" w:sz="4" w:space="0"/>
              <w:left w:val="none" w:color="000000" w:sz="4" w:space="0"/>
              <w:right w:val="none" w:color="000000" w:sz="4" w:space="0"/>
            </w:tcBorders>
            <w:tcW w:w="3347" w:type="dxa"/>
            <w:vAlign w:val="center"/>
            <w:textDirection w:val="lrTb"/>
            <w:noWrap w:val="false"/>
          </w:tcPr>
          <w:p>
            <w:pPr>
              <w:jc w:val="left"/>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项目编号：</w:t>
            </w:r>
            <w:r/>
          </w:p>
        </w:tc>
      </w:tr>
      <w:tr>
        <w:trPr>
          <w:trHeight w:val="284"/>
        </w:trPr>
        <w:tc>
          <w:tcPr>
            <w:tcW w:w="734" w:type="dxa"/>
            <w:vAlign w:val="center"/>
            <w:textDirection w:val="lrTb"/>
            <w:noWrap w:val="false"/>
          </w:tcPr>
          <w:p>
            <w:pPr>
              <w:jc w:val="center"/>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序号</w:t>
            </w:r>
            <w:r/>
          </w:p>
        </w:tc>
        <w:tc>
          <w:tcPr>
            <w:gridSpan w:val="2"/>
            <w:tcBorders>
              <w:right w:val="single" w:color="000000" w:sz="4" w:space="0"/>
            </w:tcBorders>
            <w:tcW w:w="5211" w:type="dxa"/>
            <w:vAlign w:val="center"/>
            <w:textDirection w:val="lrTb"/>
            <w:noWrap w:val="false"/>
          </w:tcPr>
          <w:p>
            <w:pPr>
              <w:jc w:val="center"/>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名               称</w:t>
            </w:r>
            <w:r/>
          </w:p>
        </w:tc>
        <w:tc>
          <w:tcPr>
            <w:gridSpan w:val="2"/>
            <w:tcBorders>
              <w:left w:val="single" w:color="000000" w:sz="4" w:space="0"/>
            </w:tcBorders>
            <w:tcW w:w="1701" w:type="dxa"/>
            <w:vAlign w:val="center"/>
            <w:textDirection w:val="lrTb"/>
            <w:noWrap w:val="false"/>
          </w:tcPr>
          <w:p>
            <w:pPr>
              <w:jc w:val="center"/>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报价（元）</w:t>
            </w:r>
            <w:r/>
          </w:p>
        </w:tc>
        <w:tc>
          <w:tcPr>
            <w:tcW w:w="1739" w:type="dxa"/>
            <w:vAlign w:val="center"/>
            <w:textDirection w:val="lrTb"/>
            <w:noWrap w:val="false"/>
          </w:tcPr>
          <w:p>
            <w:pPr>
              <w:jc w:val="center"/>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trHeight w:val="284"/>
        </w:trPr>
        <w:tc>
          <w:tcPr>
            <w:tcW w:w="734" w:type="dxa"/>
            <w:vAlign w:val="center"/>
            <w:textDirection w:val="lrTb"/>
            <w:noWrap w:val="false"/>
          </w:tcPr>
          <w:p>
            <w:pPr>
              <w:jc w:val="center"/>
              <w:spacing w:line="460" w:lineRule="exact"/>
              <w:rPr>
                <w:rFonts w:hint="eastAsia" w:ascii="宋体" w:hAnsi="宋体" w:cs="宋体"/>
                <w:color w:val="auto"/>
                <w:spacing w:val="-2"/>
                <w:szCs w:val="21"/>
                <w:highlight w:val="none"/>
              </w:rPr>
            </w:pPr>
            <w:r>
              <w:rPr>
                <w:rFonts w:hint="eastAsia" w:ascii="宋体" w:hAnsi="宋体" w:cs="宋体"/>
                <w:color w:val="auto"/>
                <w:spacing w:val="-2"/>
                <w:szCs w:val="21"/>
                <w:highlight w:val="none"/>
              </w:rPr>
              <w:t xml:space="preserve">1</w:t>
            </w:r>
            <w:r/>
          </w:p>
        </w:tc>
        <w:tc>
          <w:tcPr>
            <w:gridSpan w:val="2"/>
            <w:tcBorders>
              <w:right w:val="single" w:color="000000" w:sz="4" w:space="0"/>
            </w:tcBorders>
            <w:tcW w:w="5211" w:type="dxa"/>
            <w:vAlign w:val="center"/>
            <w:textDirection w:val="lrTb"/>
            <w:noWrap w:val="false"/>
          </w:tcPr>
          <w:p>
            <w:pPr>
              <w:jc w:val="center"/>
              <w:spacing w:line="460" w:lineRule="exact"/>
              <w:rPr>
                <w:rFonts w:hint="eastAsia" w:ascii="宋体" w:hAnsi="宋体" w:eastAsia="宋体" w:cs="宋体"/>
                <w:b/>
                <w:color w:val="auto"/>
                <w:szCs w:val="21"/>
                <w:highlight w:val="none"/>
                <w:lang w:val="zh-CN" w:eastAsia="zh-CN"/>
              </w:rPr>
            </w:pPr>
            <w:r>
              <w:rPr>
                <w:rFonts w:hint="eastAsia" w:ascii="宋体" w:hAnsi="宋体"/>
                <w:color w:val="auto"/>
                <w:sz w:val="22"/>
                <w:highlight w:val="none"/>
                <w:lang w:eastAsia="zh-CN"/>
              </w:rPr>
              <w:t xml:space="preserve">2026年S122汤山段辅道日常养护服务</w:t>
            </w:r>
            <w:r/>
          </w:p>
        </w:tc>
        <w:tc>
          <w:tcPr>
            <w:gridSpan w:val="2"/>
            <w:tcBorders>
              <w:left w:val="single" w:color="000000" w:sz="4" w:space="0"/>
            </w:tcBorders>
            <w:tcW w:w="1701" w:type="dxa"/>
            <w:vAlign w:val="center"/>
            <w:textDirection w:val="lrTb"/>
            <w:noWrap w:val="false"/>
          </w:tcPr>
          <w:p>
            <w:pPr>
              <w:jc w:val="center"/>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1739" w:type="dxa"/>
            <w:vAlign w:val="center"/>
            <w:textDirection w:val="lrTb"/>
            <w:noWrap w:val="false"/>
          </w:tcPr>
          <w:p>
            <w:pPr>
              <w:jc w:val="center"/>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trHeight w:val="284"/>
        </w:trPr>
        <w:tc>
          <w:tcPr>
            <w:gridSpan w:val="2"/>
            <w:tcW w:w="3265"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投标总价（人民币，大写）</w:t>
            </w:r>
            <w:r/>
          </w:p>
        </w:tc>
        <w:tc>
          <w:tcPr>
            <w:gridSpan w:val="4"/>
            <w:tcW w:w="6120" w:type="dxa"/>
            <w:vAlign w:val="center"/>
            <w:textDirection w:val="lrTb"/>
            <w:noWrap w:val="false"/>
          </w:tcPr>
          <w:p>
            <w:pPr>
              <w:ind w:firstLine="3990"/>
              <w:jc w:val="left"/>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trHeight w:val="284"/>
        </w:trPr>
        <w:tc>
          <w:tcPr>
            <w:gridSpan w:val="2"/>
            <w:tcW w:w="3265"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投标货物中有无进口产品</w:t>
            </w:r>
            <w:r/>
          </w:p>
        </w:tc>
        <w:tc>
          <w:tcPr>
            <w:gridSpan w:val="4"/>
            <w:tcW w:w="6120" w:type="dxa"/>
            <w:vAlign w:val="center"/>
            <w:textDirection w:val="lrTb"/>
            <w:noWrap w:val="false"/>
          </w:tcPr>
          <w:p>
            <w:pPr>
              <w:jc w:val="left"/>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有</w:t>
            </w:r>
            <w:r>
              <w:rPr>
                <w:rFonts w:hint="eastAsia" w:ascii="仿宋" w:hAnsi="仿宋" w:eastAsia="仿宋" w:cs="仿宋"/>
                <w:color w:val="auto"/>
                <w:sz w:val="24"/>
                <w:szCs w:val="24"/>
                <w:highlight w:val="none"/>
                <w:lang w:bidi="ar"/>
              </w:rPr>
              <w:t xml:space="preserve">□</w:t>
            </w:r>
            <w:r>
              <w:rPr>
                <w:rFonts w:hint="eastAsia" w:ascii="宋体" w:hAnsi="宋体" w:cs="宋体"/>
                <w:color w:val="auto"/>
                <w:szCs w:val="21"/>
                <w:highlight w:val="none"/>
                <w:lang w:val="zh-CN"/>
              </w:rPr>
              <w:t xml:space="preserve">       无</w:t>
            </w:r>
            <w:r>
              <w:rPr>
                <w:rFonts w:hint="eastAsia" w:ascii="仿宋" w:hAnsi="仿宋" w:eastAsia="仿宋" w:cs="仿宋"/>
                <w:color w:val="auto"/>
                <w:sz w:val="24"/>
                <w:szCs w:val="24"/>
                <w:highlight w:val="none"/>
                <w:lang w:bidi="ar"/>
              </w:rPr>
              <w:t xml:space="preserve">□</w:t>
            </w:r>
            <w:r/>
          </w:p>
        </w:tc>
      </w:tr>
      <w:tr>
        <w:trPr>
          <w:trHeight w:val="284"/>
        </w:trPr>
        <w:tc>
          <w:tcPr>
            <w:gridSpan w:val="2"/>
            <w:tcW w:w="3265"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供应商是否属于小微型企业</w:t>
            </w:r>
            <w:r/>
          </w:p>
        </w:tc>
        <w:tc>
          <w:tcPr>
            <w:gridSpan w:val="4"/>
            <w:tcW w:w="6120" w:type="dxa"/>
            <w:vAlign w:val="center"/>
            <w:textDirection w:val="lrTb"/>
            <w:noWrap w:val="false"/>
          </w:tcPr>
          <w:p>
            <w:pPr>
              <w:jc w:val="left"/>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是</w:t>
            </w:r>
            <w:r>
              <w:rPr>
                <w:rFonts w:hint="eastAsia" w:ascii="仿宋" w:hAnsi="仿宋" w:eastAsia="仿宋" w:cs="仿宋"/>
                <w:color w:val="auto"/>
                <w:sz w:val="24"/>
                <w:szCs w:val="24"/>
                <w:highlight w:val="none"/>
                <w:lang w:bidi="ar"/>
              </w:rPr>
              <w:t xml:space="preserve">□</w:t>
            </w:r>
            <w:r>
              <w:rPr>
                <w:rFonts w:hint="eastAsia" w:ascii="宋体" w:hAnsi="宋体" w:cs="宋体"/>
                <w:color w:val="auto"/>
                <w:szCs w:val="21"/>
                <w:highlight w:val="none"/>
                <w:lang w:val="zh-CN"/>
              </w:rPr>
              <w:t xml:space="preserve">       否</w:t>
            </w:r>
            <w:r>
              <w:rPr>
                <w:rFonts w:hint="eastAsia" w:ascii="仿宋" w:hAnsi="仿宋" w:eastAsia="仿宋" w:cs="仿宋"/>
                <w:color w:val="auto"/>
                <w:sz w:val="24"/>
                <w:szCs w:val="24"/>
                <w:highlight w:val="none"/>
                <w:lang w:bidi="ar"/>
              </w:rPr>
              <w:t xml:space="preserve">□</w:t>
            </w:r>
            <w:r/>
          </w:p>
        </w:tc>
      </w:tr>
      <w:tr>
        <w:trPr>
          <w:trHeight w:val="284"/>
        </w:trPr>
        <w:tc>
          <w:tcPr>
            <w:gridSpan w:val="2"/>
            <w:tcW w:w="3265"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人民币与美元汇率</w:t>
            </w:r>
            <w:r/>
          </w:p>
        </w:tc>
        <w:tc>
          <w:tcPr>
            <w:gridSpan w:val="4"/>
            <w:tcW w:w="6120" w:type="dxa"/>
            <w:vAlign w:val="center"/>
            <w:textDirection w:val="lrTb"/>
            <w:noWrap w:val="false"/>
          </w:tcPr>
          <w:p>
            <w:pPr>
              <w:jc w:val="left"/>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10：X</w:t>
            </w:r>
            <w:r/>
          </w:p>
        </w:tc>
      </w:tr>
    </w:tbl>
    <w:p>
      <w:pPr>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供应商名称：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加盖电子公章</w:t>
      </w:r>
      <w:r>
        <w:rPr>
          <w:rFonts w:hint="eastAsia" w:ascii="宋体" w:hAnsi="宋体" w:cs="宋体"/>
          <w:color w:val="auto"/>
          <w:szCs w:val="21"/>
          <w:highlight w:val="none"/>
          <w:lang w:val="zh-CN"/>
        </w:rPr>
        <w:t xml:space="preserve">）</w:t>
      </w:r>
      <w:r/>
    </w:p>
    <w:p>
      <w:pPr>
        <w:jc w:val="left"/>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说明：</w:t>
      </w:r>
      <w:r/>
    </w:p>
    <w:p>
      <w:pPr>
        <w:ind w:firstLine="420"/>
        <w:jc w:val="left"/>
        <w:spacing w:line="460" w:lineRule="exact"/>
        <w:widowControl/>
        <w:rPr>
          <w:rFonts w:hint="eastAsia" w:ascii="宋体" w:hAnsi="宋体" w:cs="宋体"/>
          <w:b/>
          <w:color w:val="auto"/>
          <w:szCs w:val="21"/>
          <w:highlight w:val="none"/>
          <w:lang w:val="zh-CN"/>
        </w:rPr>
      </w:pPr>
      <w:r>
        <w:rPr>
          <w:rFonts w:hint="eastAsia" w:ascii="宋体" w:hAnsi="宋体" w:cs="宋体"/>
          <w:color w:val="auto"/>
          <w:szCs w:val="21"/>
          <w:highlight w:val="none"/>
          <w:lang w:val="zh-CN"/>
        </w:rPr>
        <w:t xml:space="preserve">1、在“投标货物中有无进口产品”栏后“有”或“无”上打“√”。</w:t>
      </w:r>
      <w:r/>
    </w:p>
    <w:p>
      <w:pPr>
        <w:ind w:firstLine="420"/>
        <w:jc w:val="left"/>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2、在“供应商是否属于小和微型企业”栏后“是”或“否”上打“√”。</w:t>
      </w:r>
      <w:bookmarkStart w:id="85" w:name="_Toc514054496"/>
      <w:r/>
      <w:bookmarkStart w:id="86" w:name="_Toc10632"/>
      <w:r/>
      <w:r/>
    </w:p>
    <w:p>
      <w:pPr>
        <w:rPr>
          <w:rFonts w:hint="eastAsia"/>
          <w:color w:val="auto"/>
          <w:lang w:val="zh-CN"/>
        </w:rPr>
      </w:pPr>
      <w:r>
        <w:rPr>
          <w:rFonts w:hint="eastAsia"/>
          <w:color w:val="auto"/>
          <w:lang w:val="zh-CN"/>
        </w:rPr>
      </w:r>
      <w:r/>
    </w:p>
    <w:p>
      <w:pPr>
        <w:rPr>
          <w:rFonts w:hint="eastAsia"/>
          <w:color w:val="auto"/>
          <w:lang w:val="zh-CN"/>
        </w:rPr>
      </w:pPr>
      <w:r>
        <w:rPr>
          <w:rFonts w:hint="eastAsia"/>
          <w:color w:val="auto"/>
          <w:lang w:val="zh-CN"/>
        </w:rPr>
      </w:r>
      <w:r/>
    </w:p>
    <w:p>
      <w:pPr>
        <w:rPr>
          <w:rFonts w:hint="eastAsia"/>
          <w:color w:val="auto"/>
          <w:lang w:val="zh-CN"/>
        </w:rPr>
      </w:pPr>
      <w:r>
        <w:rPr>
          <w:rFonts w:hint="eastAsia"/>
          <w:color w:val="auto"/>
          <w:lang w:val="zh-CN"/>
        </w:rPr>
      </w:r>
      <w:r/>
    </w:p>
    <w:p>
      <w:pPr>
        <w:rPr>
          <w:rFonts w:hint="eastAsia"/>
          <w:color w:val="auto"/>
          <w:lang w:val="zh-CN"/>
        </w:rPr>
      </w:pPr>
      <w:r>
        <w:rPr>
          <w:rFonts w:hint="eastAsia"/>
          <w:color w:val="auto"/>
          <w:lang w:val="zh-CN"/>
        </w:rPr>
      </w:r>
      <w:r/>
    </w:p>
    <w:p>
      <w:pPr>
        <w:rPr>
          <w:rFonts w:hint="eastAsia"/>
          <w:color w:val="auto"/>
          <w:lang w:val="zh-CN"/>
        </w:rPr>
      </w:pPr>
      <w:r>
        <w:rPr>
          <w:rFonts w:hint="eastAsia"/>
          <w:color w:val="auto"/>
          <w:lang w:val="zh-CN"/>
        </w:rPr>
      </w:r>
      <w:r/>
    </w:p>
    <w:p>
      <w:pPr>
        <w:rPr>
          <w:rFonts w:hint="eastAsia"/>
          <w:color w:val="auto"/>
          <w:lang w:val="zh-CN"/>
        </w:rPr>
      </w:pPr>
      <w:r>
        <w:rPr>
          <w:rFonts w:hint="eastAsia"/>
          <w:color w:val="auto"/>
          <w:lang w:val="zh-CN"/>
        </w:rPr>
      </w:r>
      <w:r/>
    </w:p>
    <w:p>
      <w:pPr>
        <w:rPr>
          <w:rFonts w:hint="eastAsia"/>
          <w:color w:val="auto"/>
          <w:lang w:val="zh-CN"/>
        </w:rPr>
      </w:pPr>
      <w:r>
        <w:rPr>
          <w:rFonts w:hint="eastAsia"/>
          <w:color w:val="auto"/>
          <w:lang w:val="zh-CN"/>
        </w:rPr>
      </w:r>
      <w:r/>
    </w:p>
    <w:p>
      <w:pPr>
        <w:rPr>
          <w:rFonts w:hint="eastAsia"/>
          <w:color w:val="auto"/>
          <w:lang w:val="zh-CN"/>
        </w:rPr>
      </w:pPr>
      <w:r>
        <w:rPr>
          <w:rFonts w:hint="eastAsia"/>
          <w:color w:val="auto"/>
          <w:lang w:val="zh-CN"/>
        </w:rPr>
      </w:r>
      <w:r/>
    </w:p>
    <w:p>
      <w:pPr>
        <w:rPr>
          <w:rFonts w:hint="eastAsia"/>
          <w:color w:val="auto"/>
          <w:lang w:val="zh-CN"/>
        </w:rPr>
      </w:pPr>
      <w:r>
        <w:rPr>
          <w:rFonts w:hint="eastAsia"/>
          <w:color w:val="auto"/>
          <w:lang w:val="zh-CN"/>
        </w:rPr>
      </w:r>
      <w:r/>
    </w:p>
    <w:p>
      <w:pPr>
        <w:pStyle w:val="845"/>
        <w:rPr>
          <w:rFonts w:hint="eastAsia"/>
          <w:color w:val="auto"/>
          <w:lang w:val="zh-CN"/>
        </w:rPr>
      </w:pPr>
      <w:r>
        <w:rPr>
          <w:rFonts w:hint="eastAsia"/>
          <w:color w:val="auto"/>
          <w:lang w:val="zh-CN"/>
        </w:rPr>
      </w:r>
      <w:r/>
    </w:p>
    <w:p>
      <w:pPr>
        <w:pStyle w:val="845"/>
        <w:rPr>
          <w:rFonts w:hint="eastAsia"/>
          <w:color w:val="auto"/>
          <w:lang w:val="zh-CN"/>
        </w:rPr>
      </w:pPr>
      <w:r>
        <w:rPr>
          <w:rFonts w:hint="eastAsia"/>
          <w:color w:val="auto"/>
          <w:lang w:val="zh-CN"/>
        </w:rPr>
      </w:r>
      <w:r/>
    </w:p>
    <w:p>
      <w:pPr>
        <w:pStyle w:val="845"/>
        <w:rPr>
          <w:rFonts w:hint="eastAsia"/>
          <w:color w:val="auto"/>
          <w:lang w:val="zh-CN"/>
        </w:rPr>
      </w:pPr>
      <w:r>
        <w:rPr>
          <w:rFonts w:hint="eastAsia"/>
          <w:color w:val="auto"/>
          <w:lang w:val="zh-CN"/>
        </w:rPr>
      </w:r>
      <w:r/>
    </w:p>
    <w:p>
      <w:pPr>
        <w:pStyle w:val="845"/>
        <w:rPr>
          <w:rFonts w:hint="eastAsia"/>
          <w:color w:val="auto"/>
          <w:lang w:val="zh-CN"/>
        </w:rPr>
      </w:pPr>
      <w:r>
        <w:rPr>
          <w:rFonts w:hint="eastAsia"/>
          <w:color w:val="auto"/>
          <w:lang w:val="zh-CN"/>
        </w:rPr>
      </w:r>
      <w:r/>
    </w:p>
    <w:p>
      <w:pPr>
        <w:rPr>
          <w:rFonts w:hint="eastAsia"/>
          <w:color w:val="auto"/>
          <w:lang w:val="zh-CN"/>
        </w:rPr>
      </w:pPr>
      <w:r>
        <w:rPr>
          <w:rFonts w:hint="eastAsia"/>
          <w:color w:val="auto"/>
          <w:lang w:val="zh-CN"/>
        </w:rPr>
      </w:r>
      <w:r/>
    </w:p>
    <w:p>
      <w:pPr>
        <w:rPr>
          <w:rFonts w:hint="eastAsia"/>
          <w:color w:val="auto"/>
          <w:lang w:val="zh-CN"/>
        </w:rPr>
      </w:pPr>
      <w:r>
        <w:rPr>
          <w:rFonts w:hint="eastAsia"/>
          <w:color w:val="auto"/>
          <w:lang w:val="zh-CN"/>
        </w:rPr>
      </w:r>
      <w:r/>
    </w:p>
    <w:p>
      <w:pPr>
        <w:rPr>
          <w:rFonts w:hint="eastAsia"/>
          <w:color w:val="auto"/>
          <w:lang w:val="zh-CN"/>
        </w:rPr>
      </w:pPr>
      <w:r>
        <w:rPr>
          <w:rFonts w:hint="eastAsia"/>
          <w:color w:val="auto"/>
          <w:lang w:val="zh-CN"/>
        </w:rPr>
      </w:r>
      <w:r/>
    </w:p>
    <w:p>
      <w:pPr>
        <w:rPr>
          <w:rFonts w:hint="eastAsia"/>
          <w:color w:val="auto"/>
          <w:lang w:val="zh-CN"/>
        </w:rPr>
      </w:pPr>
      <w:r>
        <w:rPr>
          <w:rFonts w:hint="eastAsia"/>
          <w:color w:val="auto"/>
          <w:lang w:val="zh-CN"/>
        </w:rPr>
      </w:r>
      <w:r/>
    </w:p>
    <w:p>
      <w:pPr>
        <w:rPr>
          <w:rFonts w:hint="eastAsia"/>
          <w:color w:val="auto"/>
          <w:lang w:val="zh-CN"/>
        </w:rPr>
      </w:pPr>
      <w:r>
        <w:rPr>
          <w:rFonts w:hint="eastAsia"/>
          <w:color w:val="auto"/>
          <w:lang w:val="zh-CN"/>
        </w:rPr>
      </w:r>
      <w:r/>
    </w:p>
    <w:p>
      <w:pPr>
        <w:rPr>
          <w:rFonts w:hint="eastAsia"/>
          <w:color w:val="auto"/>
          <w:lang w:val="zh-CN"/>
        </w:rPr>
      </w:pPr>
      <w:r>
        <w:rPr>
          <w:rFonts w:hint="eastAsia"/>
          <w:color w:val="auto"/>
          <w:lang w:val="zh-CN"/>
        </w:rPr>
      </w:r>
      <w:r/>
    </w:p>
    <w:p>
      <w:pPr>
        <w:rPr>
          <w:rFonts w:hint="eastAsia"/>
          <w:color w:val="auto"/>
          <w:lang w:val="zh-CN"/>
        </w:rPr>
      </w:pPr>
      <w:r>
        <w:rPr>
          <w:rFonts w:hint="eastAsia"/>
          <w:color w:val="auto"/>
          <w:lang w:val="zh-CN"/>
        </w:rPr>
      </w:r>
      <w:r/>
    </w:p>
    <w:p>
      <w:pPr>
        <w:rPr>
          <w:rFonts w:hint="eastAsia"/>
          <w:color w:val="auto"/>
          <w:lang w:val="zh-CN"/>
        </w:rPr>
      </w:pPr>
      <w:r>
        <w:rPr>
          <w:rFonts w:hint="eastAsia"/>
          <w:color w:val="auto"/>
          <w:lang w:val="zh-CN"/>
        </w:rPr>
      </w:r>
      <w:r/>
    </w:p>
    <w:p>
      <w:pPr>
        <w:rPr>
          <w:rFonts w:hint="eastAsia"/>
          <w:color w:val="auto"/>
          <w:lang w:val="zh-CN"/>
        </w:rPr>
      </w:pPr>
      <w:r>
        <w:rPr>
          <w:rFonts w:hint="eastAsia"/>
          <w:color w:val="auto"/>
          <w:lang w:val="zh-CN"/>
        </w:rPr>
      </w:r>
      <w:r/>
    </w:p>
    <w:p>
      <w:pPr>
        <w:pStyle w:val="807"/>
        <w:rPr>
          <w:rFonts w:hint="eastAsia"/>
          <w:color w:val="auto"/>
        </w:rPr>
      </w:pPr>
      <w:r>
        <w:rPr>
          <w:color w:val="auto"/>
        </w:rPr>
        <w:t xml:space="preserve">十、中小企业声明函</w:t>
      </w:r>
      <w:bookmarkEnd w:id="85"/>
      <w:r/>
      <w:bookmarkEnd w:id="86"/>
      <w:r/>
      <w:r/>
    </w:p>
    <w:p>
      <w:pPr>
        <w:pStyle w:val="1131"/>
        <w:jc w:val="center"/>
        <w:spacing w:line="600" w:lineRule="exact"/>
        <w:rPr>
          <w:rFonts w:hint="eastAsia" w:ascii="宋体" w:hAnsi="宋体" w:cs="宋体"/>
          <w:b/>
          <w:bCs/>
          <w:color w:val="auto"/>
          <w:sz w:val="32"/>
          <w:szCs w:val="32"/>
          <w:highlight w:val="none"/>
        </w:rPr>
      </w:pPr>
      <w:r/>
      <w:bookmarkStart w:id="87" w:name="_Toc6995_WPSOffice_Level2"/>
      <w:r>
        <w:rPr>
          <w:rFonts w:hint="eastAsia" w:ascii="宋体" w:hAnsi="宋体" w:cs="宋体"/>
          <w:b/>
          <w:bCs/>
          <w:color w:val="auto"/>
          <w:sz w:val="32"/>
          <w:szCs w:val="32"/>
          <w:highlight w:val="none"/>
        </w:rPr>
        <w:t xml:space="preserve">中小企业声明函</w:t>
      </w:r>
      <w:bookmarkEnd w:id="87"/>
      <w:r>
        <w:rPr>
          <w:rFonts w:hint="eastAsia" w:ascii="宋体" w:hAnsi="宋体" w:cs="宋体"/>
          <w:b/>
          <w:bCs/>
          <w:color w:val="auto"/>
          <w:sz w:val="32"/>
          <w:szCs w:val="32"/>
          <w:highlight w:val="none"/>
        </w:rPr>
        <w:t xml:space="preserve">（工程、服务）</w:t>
      </w:r>
      <w:r/>
    </w:p>
    <w:p>
      <w:pPr>
        <w:pStyle w:val="1131"/>
        <w:ind w:firstLine="480"/>
        <w:spacing w:line="240" w:lineRule="atLeast"/>
        <w:rPr>
          <w:rFonts w:hint="eastAsia" w:ascii="宋体" w:hAnsi="宋体" w:cs="宋体"/>
          <w:color w:val="auto"/>
          <w:sz w:val="24"/>
          <w:highlight w:val="none"/>
        </w:rPr>
      </w:pPr>
      <w:r>
        <w:rPr>
          <w:rFonts w:hint="eastAsia" w:ascii="宋体" w:hAnsi="宋体" w:cs="宋体"/>
          <w:color w:val="auto"/>
          <w:sz w:val="24"/>
          <w:highlight w:val="none"/>
        </w:rPr>
      </w:r>
      <w:r/>
    </w:p>
    <w:p>
      <w:pPr>
        <w:ind w:firstLine="420"/>
        <w:spacing w:line="360" w:lineRule="auto"/>
        <w:rPr>
          <w:rFonts w:ascii="仿宋_GB2312" w:eastAsia="仿宋_GB2312"/>
          <w:color w:val="auto"/>
          <w:highlight w:val="none"/>
        </w:rPr>
      </w:pPr>
      <w:r>
        <w:rPr>
          <w:rFonts w:ascii="仿宋_GB2312" w:eastAsia="仿宋_GB2312"/>
          <w:color w:val="auto"/>
          <w:highlight w:val="none"/>
        </w:rPr>
      </w:r>
      <w:r/>
    </w:p>
    <w:p>
      <w:pPr>
        <w:ind w:firstLine="420"/>
        <w:spacing w:line="360" w:lineRule="auto"/>
        <w:rPr>
          <w:rFonts w:ascii="仿宋_GB2312" w:eastAsia="仿宋_GB2312"/>
          <w:color w:val="auto"/>
          <w:highlight w:val="none"/>
        </w:rPr>
      </w:pPr>
      <w:r>
        <w:rPr>
          <w:rFonts w:ascii="仿宋_GB2312" w:eastAsia="仿宋_GB2312"/>
          <w:color w:val="auto"/>
          <w:highlight w:val="none"/>
        </w:rPr>
      </w:r>
      <w:r/>
    </w:p>
    <w:p>
      <w:pPr>
        <w:ind w:firstLine="420"/>
        <w:spacing w:line="360" w:lineRule="auto"/>
        <w:rPr>
          <w:rFonts w:ascii="仿宋_GB2312" w:eastAsia="仿宋_GB2312"/>
          <w:color w:val="auto"/>
          <w:highlight w:val="none"/>
        </w:rPr>
      </w:pPr>
      <w:r>
        <w:rPr>
          <w:rFonts w:ascii="仿宋_GB2312" w:eastAsia="仿宋_GB2312"/>
          <w:color w:val="auto"/>
          <w:highlight w:val="none"/>
        </w:rPr>
      </w:r>
      <w:r/>
    </w:p>
    <w:p>
      <w:pPr>
        <w:ind w:firstLine="420"/>
        <w:spacing w:line="360" w:lineRule="auto"/>
        <w:rPr>
          <w:rFonts w:ascii="仿宋_GB2312" w:eastAsia="仿宋_GB2312"/>
          <w:color w:val="auto"/>
          <w:highlight w:val="none"/>
        </w:rPr>
      </w:pPr>
      <w:r>
        <w:rPr>
          <w:rFonts w:ascii="仿宋_GB2312" w:eastAsia="仿宋_GB2312"/>
          <w:color w:val="auto"/>
          <w:highlight w:val="none"/>
        </w:rPr>
      </w:r>
      <w:r/>
    </w:p>
    <w:p>
      <w:pPr>
        <w:ind w:firstLine="420"/>
        <w:spacing w:line="360" w:lineRule="auto"/>
        <w:rPr>
          <w:rFonts w:ascii="仿宋_GB2312" w:eastAsia="仿宋_GB2312"/>
          <w:color w:val="auto"/>
          <w:highlight w:val="none"/>
        </w:rPr>
      </w:pPr>
      <w:r>
        <w:rPr>
          <w:rFonts w:hint="eastAsia" w:ascii="仿宋_GB2312" w:eastAsia="仿宋_GB2312"/>
          <w:color w:val="auto"/>
          <w:highlight w:val="none"/>
        </w:rPr>
        <w:t xml:space="preserve">本公司（联合体）郑重声明，根据《政府采购促进中小企业发展管理办法》（财库﹝2020﹞46 号）的规定，本公司（联合体）参加</w:t>
      </w:r>
      <w:r>
        <w:rPr>
          <w:rFonts w:hint="eastAsia" w:ascii="仿宋_GB2312" w:eastAsia="仿宋_GB2312"/>
          <w:color w:val="auto"/>
          <w:highlight w:val="none"/>
          <w:u w:val="single"/>
        </w:rPr>
        <w:t xml:space="preserve">（单位名称）</w:t>
      </w:r>
      <w:r>
        <w:rPr>
          <w:rFonts w:hint="eastAsia" w:ascii="仿宋_GB2312" w:eastAsia="仿宋_GB2312"/>
          <w:color w:val="auto"/>
          <w:highlight w:val="none"/>
        </w:rPr>
        <w:t xml:space="preserve">的</w:t>
      </w:r>
      <w:r>
        <w:rPr>
          <w:rFonts w:hint="eastAsia" w:ascii="仿宋_GB2312" w:eastAsia="仿宋_GB2312"/>
          <w:color w:val="auto"/>
          <w:highlight w:val="none"/>
          <w:u w:val="single"/>
        </w:rPr>
        <w:t xml:space="preserve">（项目名称）</w:t>
      </w:r>
      <w:r>
        <w:rPr>
          <w:rFonts w:hint="eastAsia" w:ascii="仿宋_GB2312" w:eastAsia="仿宋_GB2312"/>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rPr>
          <w:rFonts w:ascii="仿宋_GB2312" w:eastAsia="仿宋_GB2312"/>
          <w:color w:val="auto"/>
          <w:highlight w:val="none"/>
        </w:rPr>
      </w:pPr>
      <w:r>
        <w:rPr>
          <w:rFonts w:hint="eastAsia" w:ascii="仿宋_GB2312" w:eastAsia="仿宋_GB2312"/>
          <w:color w:val="auto"/>
          <w:highlight w:val="none"/>
        </w:rPr>
        <w:t xml:space="preserve">1. </w:t>
      </w:r>
      <w:r>
        <w:rPr>
          <w:rFonts w:hint="eastAsia" w:ascii="仿宋_GB2312" w:eastAsia="仿宋_GB2312"/>
          <w:color w:val="auto"/>
          <w:highlight w:val="none"/>
          <w:u w:val="single"/>
        </w:rPr>
        <w:t xml:space="preserve">（标的名称） </w:t>
      </w:r>
      <w:r>
        <w:rPr>
          <w:rFonts w:hint="eastAsia" w:ascii="仿宋_GB2312" w:eastAsia="仿宋_GB2312"/>
          <w:color w:val="auto"/>
          <w:highlight w:val="none"/>
        </w:rPr>
        <w:t xml:space="preserve">，属于</w:t>
      </w:r>
      <w:r>
        <w:rPr>
          <w:rFonts w:hint="eastAsia" w:ascii="仿宋_GB2312" w:eastAsia="仿宋_GB2312"/>
          <w:color w:val="auto"/>
          <w:highlight w:val="none"/>
          <w:u w:val="single"/>
        </w:rPr>
        <w:t xml:space="preserve">（采购文件中明确的所属行业）</w:t>
      </w:r>
      <w:r>
        <w:rPr>
          <w:rFonts w:hint="eastAsia" w:ascii="仿宋_GB2312" w:eastAsia="仿宋_GB2312"/>
          <w:color w:val="auto"/>
          <w:highlight w:val="none"/>
        </w:rPr>
        <w:t xml:space="preserve">；承建（承接）企业为</w:t>
      </w:r>
      <w:r>
        <w:rPr>
          <w:rFonts w:hint="eastAsia" w:ascii="仿宋_GB2312" w:eastAsia="仿宋_GB2312"/>
          <w:color w:val="auto"/>
          <w:highlight w:val="none"/>
          <w:u w:val="single"/>
        </w:rPr>
        <w:t xml:space="preserve">（企业名称）</w:t>
      </w:r>
      <w:r>
        <w:rPr>
          <w:rFonts w:hint="eastAsia" w:ascii="仿宋_GB2312" w:eastAsia="仿宋_GB2312"/>
          <w:color w:val="auto"/>
          <w:highlight w:val="none"/>
        </w:rPr>
        <w:t xml:space="preserve">，从业人员</w:t>
      </w:r>
      <w:r>
        <w:rPr>
          <w:rFonts w:hint="eastAsia" w:ascii="仿宋_GB2312" w:eastAsia="仿宋_GB2312"/>
          <w:color w:val="auto"/>
          <w:highlight w:val="none"/>
          <w:u w:val="single"/>
        </w:rPr>
        <w:t xml:space="preserve">   </w:t>
      </w:r>
      <w:r>
        <w:rPr>
          <w:rFonts w:hint="eastAsia" w:ascii="仿宋_GB2312" w:eastAsia="仿宋_GB2312"/>
          <w:color w:val="auto"/>
          <w:highlight w:val="none"/>
        </w:rPr>
        <w:t xml:space="preserve">人，营业收入为</w:t>
      </w:r>
      <w:r>
        <w:rPr>
          <w:rFonts w:hint="eastAsia" w:ascii="仿宋_GB2312" w:eastAsia="仿宋_GB2312"/>
          <w:color w:val="auto"/>
          <w:highlight w:val="none"/>
          <w:u w:val="single"/>
        </w:rPr>
        <w:t xml:space="preserve">   </w:t>
      </w:r>
      <w:r>
        <w:rPr>
          <w:rFonts w:hint="eastAsia" w:ascii="仿宋_GB2312" w:eastAsia="仿宋_GB2312"/>
          <w:color w:val="auto"/>
          <w:highlight w:val="none"/>
        </w:rPr>
        <w:t xml:space="preserve">万元，资产总额为</w:t>
      </w:r>
      <w:r>
        <w:rPr>
          <w:rFonts w:hint="eastAsia" w:ascii="仿宋_GB2312" w:eastAsia="仿宋_GB2312"/>
          <w:color w:val="auto"/>
          <w:highlight w:val="none"/>
          <w:u w:val="single"/>
        </w:rPr>
        <w:t xml:space="preserve">   </w:t>
      </w:r>
      <w:r>
        <w:rPr>
          <w:rFonts w:hint="eastAsia" w:ascii="仿宋_GB2312" w:eastAsia="仿宋_GB2312"/>
          <w:color w:val="auto"/>
          <w:highlight w:val="none"/>
        </w:rPr>
        <w:t xml:space="preserve">万元</w:t>
      </w:r>
      <w:r>
        <w:rPr>
          <w:rFonts w:hint="eastAsia" w:ascii="仿宋_GB2312" w:eastAsia="仿宋_GB2312"/>
          <w:color w:val="auto"/>
          <w:highlight w:val="none"/>
          <w:vertAlign w:val="superscript"/>
        </w:rPr>
        <w:t xml:space="preserve">1</w:t>
      </w:r>
      <w:r>
        <w:rPr>
          <w:rFonts w:hint="eastAsia" w:ascii="仿宋_GB2312" w:eastAsia="仿宋_GB2312"/>
          <w:color w:val="auto"/>
          <w:highlight w:val="none"/>
        </w:rPr>
        <w:t xml:space="preserve">，属于</w:t>
      </w:r>
      <w:r>
        <w:rPr>
          <w:rFonts w:hint="eastAsia" w:ascii="仿宋_GB2312" w:eastAsia="仿宋_GB2312"/>
          <w:color w:val="auto"/>
          <w:highlight w:val="none"/>
          <w:u w:val="single"/>
        </w:rPr>
        <w:t xml:space="preserve">（中型企业、 小型企业、微型企业）</w:t>
      </w:r>
      <w:r>
        <w:rPr>
          <w:rFonts w:hint="eastAsia" w:ascii="仿宋_GB2312" w:eastAsia="仿宋_GB2312"/>
          <w:color w:val="auto"/>
          <w:highlight w:val="none"/>
        </w:rPr>
        <w:t xml:space="preserve">； </w:t>
      </w:r>
      <w:r/>
    </w:p>
    <w:p>
      <w:pPr>
        <w:ind w:firstLine="420"/>
        <w:spacing w:line="360" w:lineRule="auto"/>
        <w:rPr>
          <w:rFonts w:ascii="仿宋_GB2312" w:eastAsia="仿宋_GB2312"/>
          <w:color w:val="auto"/>
          <w:highlight w:val="none"/>
        </w:rPr>
      </w:pPr>
      <w:r>
        <w:rPr>
          <w:rFonts w:hint="eastAsia" w:ascii="仿宋_GB2312" w:eastAsia="仿宋_GB2312"/>
          <w:color w:val="auto"/>
          <w:highlight w:val="none"/>
        </w:rPr>
        <w:t xml:space="preserve">2.</w:t>
      </w:r>
      <w:r>
        <w:rPr>
          <w:rFonts w:hint="eastAsia" w:ascii="仿宋_GB2312" w:eastAsia="仿宋_GB2312"/>
          <w:color w:val="auto"/>
          <w:highlight w:val="none"/>
          <w:u w:val="single"/>
        </w:rPr>
        <w:t xml:space="preserve"> （标的名称） </w:t>
      </w:r>
      <w:r>
        <w:rPr>
          <w:rFonts w:hint="eastAsia" w:ascii="仿宋_GB2312" w:eastAsia="仿宋_GB2312"/>
          <w:color w:val="auto"/>
          <w:highlight w:val="none"/>
        </w:rPr>
        <w:t xml:space="preserve">，属于</w:t>
      </w:r>
      <w:r>
        <w:rPr>
          <w:rFonts w:hint="eastAsia" w:ascii="仿宋_GB2312" w:eastAsia="仿宋_GB2312"/>
          <w:color w:val="auto"/>
          <w:highlight w:val="none"/>
          <w:u w:val="single"/>
        </w:rPr>
        <w:t xml:space="preserve">（采购文件中明确的所属行业）</w:t>
      </w:r>
      <w:r>
        <w:rPr>
          <w:rFonts w:hint="eastAsia" w:ascii="仿宋_GB2312" w:eastAsia="仿宋_GB2312"/>
          <w:color w:val="auto"/>
          <w:highlight w:val="none"/>
        </w:rPr>
        <w:t xml:space="preserve">；承建（承接）企业为</w:t>
      </w:r>
      <w:r>
        <w:rPr>
          <w:rFonts w:hint="eastAsia" w:ascii="仿宋_GB2312" w:eastAsia="仿宋_GB2312"/>
          <w:color w:val="auto"/>
          <w:highlight w:val="none"/>
          <w:u w:val="single"/>
        </w:rPr>
        <w:t xml:space="preserve">（企业名称）</w:t>
      </w:r>
      <w:r>
        <w:rPr>
          <w:rFonts w:hint="eastAsia" w:ascii="仿宋_GB2312" w:eastAsia="仿宋_GB2312"/>
          <w:color w:val="auto"/>
          <w:highlight w:val="none"/>
        </w:rPr>
        <w:t xml:space="preserve">，从业人员</w:t>
      </w:r>
      <w:r>
        <w:rPr>
          <w:rFonts w:hint="eastAsia" w:ascii="仿宋_GB2312" w:eastAsia="仿宋_GB2312"/>
          <w:color w:val="auto"/>
          <w:highlight w:val="none"/>
          <w:u w:val="single"/>
        </w:rPr>
        <w:t xml:space="preserve">   </w:t>
      </w:r>
      <w:r>
        <w:rPr>
          <w:rFonts w:hint="eastAsia" w:ascii="仿宋_GB2312" w:eastAsia="仿宋_GB2312"/>
          <w:color w:val="auto"/>
          <w:highlight w:val="none"/>
        </w:rPr>
        <w:t xml:space="preserve">人，营业收入为</w:t>
      </w:r>
      <w:r>
        <w:rPr>
          <w:rFonts w:hint="eastAsia" w:ascii="仿宋_GB2312" w:eastAsia="仿宋_GB2312"/>
          <w:color w:val="auto"/>
          <w:highlight w:val="none"/>
          <w:u w:val="single"/>
        </w:rPr>
        <w:t xml:space="preserve">  </w:t>
      </w:r>
      <w:r>
        <w:rPr>
          <w:rFonts w:hint="eastAsia" w:ascii="仿宋_GB2312" w:eastAsia="仿宋_GB2312"/>
          <w:color w:val="auto"/>
          <w:highlight w:val="none"/>
        </w:rPr>
        <w:t xml:space="preserve">万元，资产总额为</w:t>
      </w:r>
      <w:r>
        <w:rPr>
          <w:rFonts w:hint="eastAsia" w:ascii="仿宋_GB2312" w:eastAsia="仿宋_GB2312"/>
          <w:color w:val="auto"/>
          <w:highlight w:val="none"/>
          <w:u w:val="single"/>
        </w:rPr>
        <w:t xml:space="preserve">    </w:t>
      </w:r>
      <w:r>
        <w:rPr>
          <w:rFonts w:hint="eastAsia" w:ascii="仿宋_GB2312" w:eastAsia="仿宋_GB2312"/>
          <w:color w:val="auto"/>
          <w:highlight w:val="none"/>
        </w:rPr>
        <w:t xml:space="preserve">万元，属于</w:t>
      </w:r>
      <w:r>
        <w:rPr>
          <w:rFonts w:hint="eastAsia" w:ascii="仿宋_GB2312" w:eastAsia="仿宋_GB2312"/>
          <w:color w:val="auto"/>
          <w:highlight w:val="none"/>
          <w:u w:val="single"/>
        </w:rPr>
        <w:t xml:space="preserve">（中型企业、 小型企业、微型企业）</w:t>
      </w:r>
      <w:r>
        <w:rPr>
          <w:rFonts w:hint="eastAsia" w:ascii="仿宋_GB2312" w:eastAsia="仿宋_GB2312"/>
          <w:color w:val="auto"/>
          <w:highlight w:val="none"/>
        </w:rPr>
        <w:t xml:space="preserve">； </w:t>
      </w:r>
      <w:r/>
    </w:p>
    <w:p>
      <w:pPr>
        <w:ind w:firstLine="420"/>
        <w:spacing w:line="360" w:lineRule="auto"/>
        <w:rPr>
          <w:rFonts w:ascii="仿宋_GB2312" w:eastAsia="仿宋_GB2312"/>
          <w:color w:val="auto"/>
          <w:highlight w:val="none"/>
        </w:rPr>
      </w:pPr>
      <w:r>
        <w:rPr>
          <w:rFonts w:hint="eastAsia" w:ascii="仿宋_GB2312" w:eastAsia="仿宋_GB2312"/>
          <w:color w:val="auto"/>
          <w:highlight w:val="none"/>
        </w:rPr>
        <w:t xml:space="preserve">……</w:t>
      </w:r>
      <w:r/>
    </w:p>
    <w:p>
      <w:pPr>
        <w:ind w:firstLine="420"/>
        <w:spacing w:line="360" w:lineRule="auto"/>
        <w:rPr>
          <w:rFonts w:ascii="仿宋_GB2312" w:eastAsia="仿宋_GB2312"/>
          <w:color w:val="auto"/>
          <w:highlight w:val="none"/>
        </w:rPr>
      </w:pPr>
      <w:r>
        <w:rPr>
          <w:rFonts w:hint="eastAsia" w:ascii="仿宋_GB2312" w:eastAsia="仿宋_GB2312"/>
          <w:color w:val="auto"/>
          <w:highlight w:val="none"/>
        </w:rPr>
        <w:t xml:space="preserve">以上企业，不属于大企业的分支机构，不存在控股股东为大企业的情形，也不存在与大企业的负责人为同一人的情形。</w:t>
      </w:r>
      <w:r/>
    </w:p>
    <w:p>
      <w:pPr>
        <w:ind w:firstLine="420"/>
        <w:spacing w:line="360" w:lineRule="auto"/>
        <w:rPr>
          <w:rFonts w:ascii="仿宋_GB2312" w:eastAsia="仿宋_GB2312"/>
          <w:color w:val="auto"/>
          <w:highlight w:val="none"/>
        </w:rPr>
      </w:pPr>
      <w:r>
        <w:rPr>
          <w:rFonts w:hint="eastAsia" w:ascii="仿宋_GB2312" w:eastAsia="仿宋_GB2312"/>
          <w:color w:val="auto"/>
          <w:highlight w:val="none"/>
        </w:rPr>
        <w:t xml:space="preserve">本企业对上述声明内容的真实性负责。如有虚假，将依法承担相应责任。 </w:t>
      </w:r>
      <w:r/>
    </w:p>
    <w:p>
      <w:pPr>
        <w:ind w:firstLine="420"/>
        <w:jc w:val="center"/>
        <w:spacing w:line="360" w:lineRule="auto"/>
        <w:rPr>
          <w:rFonts w:ascii="仿宋_GB2312" w:eastAsia="仿宋_GB2312"/>
          <w:color w:val="auto"/>
          <w:highlight w:val="none"/>
        </w:rPr>
      </w:pPr>
      <w:r>
        <w:rPr>
          <w:rFonts w:hint="eastAsia" w:ascii="仿宋_GB2312" w:eastAsia="仿宋_GB2312"/>
          <w:color w:val="auto"/>
          <w:highlight w:val="none"/>
        </w:rPr>
        <w:t xml:space="preserve">    </w:t>
      </w:r>
      <w:r/>
    </w:p>
    <w:p>
      <w:pPr>
        <w:ind w:firstLine="420"/>
        <w:jc w:val="center"/>
        <w:spacing w:line="360" w:lineRule="auto"/>
        <w:rPr>
          <w:rFonts w:ascii="仿宋_GB2312" w:eastAsia="仿宋_GB2312"/>
          <w:color w:val="auto"/>
          <w:highlight w:val="none"/>
        </w:rPr>
      </w:pPr>
      <w:r>
        <w:rPr>
          <w:rFonts w:ascii="仿宋_GB2312" w:eastAsia="仿宋_GB2312"/>
          <w:color w:val="auto"/>
          <w:highlight w:val="none"/>
        </w:rPr>
      </w:r>
      <w:r/>
    </w:p>
    <w:p>
      <w:pPr>
        <w:ind w:firstLine="420"/>
        <w:jc w:val="center"/>
        <w:spacing w:line="360" w:lineRule="auto"/>
        <w:rPr>
          <w:rFonts w:ascii="仿宋_GB2312" w:eastAsia="仿宋_GB2312"/>
          <w:color w:val="auto"/>
          <w:highlight w:val="none"/>
        </w:rPr>
      </w:pPr>
      <w:r>
        <w:rPr>
          <w:rFonts w:ascii="仿宋_GB2312" w:eastAsia="仿宋_GB2312"/>
          <w:color w:val="auto"/>
          <w:highlight w:val="none"/>
        </w:rPr>
      </w:r>
      <w:r/>
    </w:p>
    <w:p>
      <w:pPr>
        <w:ind w:firstLine="420"/>
        <w:jc w:val="center"/>
        <w:spacing w:line="360" w:lineRule="auto"/>
        <w:rPr>
          <w:rFonts w:ascii="仿宋_GB2312" w:eastAsia="仿宋_GB2312"/>
          <w:color w:val="auto"/>
          <w:highlight w:val="none"/>
        </w:rPr>
      </w:pPr>
      <w:r>
        <w:rPr>
          <w:rFonts w:ascii="仿宋_GB2312" w:eastAsia="仿宋_GB2312"/>
          <w:color w:val="auto"/>
          <w:highlight w:val="none"/>
        </w:rPr>
      </w:r>
      <w:r/>
    </w:p>
    <w:p>
      <w:pPr>
        <w:ind w:firstLine="420"/>
        <w:jc w:val="center"/>
        <w:spacing w:line="360" w:lineRule="auto"/>
        <w:rPr>
          <w:rFonts w:ascii="仿宋_GB2312" w:eastAsia="仿宋_GB2312"/>
          <w:color w:val="auto"/>
          <w:highlight w:val="none"/>
        </w:rPr>
      </w:pPr>
      <w:r>
        <w:rPr>
          <w:rFonts w:hint="eastAsia" w:ascii="仿宋_GB2312" w:eastAsia="仿宋_GB2312"/>
          <w:color w:val="auto"/>
          <w:highlight w:val="none"/>
        </w:rPr>
        <w:t xml:space="preserve">企业名称</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加盖电子公章</w:t>
      </w:r>
      <w:r>
        <w:rPr>
          <w:rFonts w:hint="eastAsia" w:ascii="宋体" w:hAnsi="宋体" w:cs="宋体"/>
          <w:color w:val="auto"/>
          <w:szCs w:val="21"/>
          <w:highlight w:val="none"/>
          <w:lang w:val="zh-CN"/>
        </w:rPr>
        <w:t xml:space="preserve">）</w:t>
      </w:r>
      <w:r>
        <w:rPr>
          <w:rFonts w:hint="eastAsia" w:ascii="仿宋_GB2312" w:eastAsia="仿宋_GB2312"/>
          <w:color w:val="auto"/>
          <w:highlight w:val="none"/>
        </w:rPr>
        <w:t xml:space="preserve">： </w:t>
      </w:r>
      <w:r/>
    </w:p>
    <w:p>
      <w:pPr>
        <w:ind w:firstLine="4200"/>
        <w:spacing w:line="360" w:lineRule="auto"/>
        <w:rPr>
          <w:rFonts w:ascii="仿宋_GB2312" w:eastAsia="仿宋_GB2312"/>
          <w:color w:val="auto"/>
          <w:highlight w:val="none"/>
        </w:rPr>
      </w:pPr>
      <w:r>
        <w:rPr>
          <w:rFonts w:hint="eastAsia" w:ascii="仿宋_GB2312" w:eastAsia="仿宋_GB2312"/>
          <w:color w:val="auto"/>
          <w:highlight w:val="none"/>
        </w:rPr>
        <w:t xml:space="preserve">日 期： </w:t>
      </w:r>
      <w:r/>
    </w:p>
    <w:p>
      <w:pPr>
        <w:pStyle w:val="1009"/>
        <w:rPr>
          <w:color w:val="auto"/>
          <w:sz w:val="24"/>
          <w:highlight w:val="none"/>
        </w:rPr>
      </w:pPr>
      <w:r>
        <w:rPr>
          <w:color w:val="auto"/>
          <w:sz w:val="24"/>
          <w:highlight w:val="none"/>
        </w:rPr>
      </w:r>
      <w:r/>
    </w:p>
    <w:p>
      <w:pPr>
        <w:pStyle w:val="1009"/>
        <w:rPr>
          <w:color w:val="auto"/>
          <w:sz w:val="24"/>
          <w:highlight w:val="none"/>
        </w:rPr>
      </w:pPr>
      <w:r>
        <w:rPr>
          <w:color w:val="auto"/>
          <w:sz w:val="24"/>
          <w:highlight w:val="none"/>
        </w:rPr>
      </w:r>
      <w:r/>
    </w:p>
    <w:p>
      <w:pPr>
        <w:pStyle w:val="1009"/>
        <w:rPr>
          <w:color w:val="auto"/>
          <w:sz w:val="24"/>
          <w:highlight w:val="none"/>
        </w:rPr>
      </w:pPr>
      <w:r>
        <w:rPr>
          <w:color w:val="auto"/>
          <w:sz w:val="24"/>
          <w:highlight w:val="none"/>
        </w:rPr>
      </w:r>
      <w:r/>
    </w:p>
    <w:p>
      <w:pPr>
        <w:pStyle w:val="1009"/>
        <w:rPr>
          <w:color w:val="auto"/>
          <w:sz w:val="24"/>
          <w:highlight w:val="none"/>
        </w:rPr>
      </w:pPr>
      <w:r>
        <w:rPr>
          <w:color w:val="auto"/>
          <w:sz w:val="24"/>
          <w:highlight w:val="none"/>
        </w:rPr>
      </w:r>
      <w:r/>
    </w:p>
    <w:p>
      <w:pPr>
        <w:ind w:firstLine="422"/>
        <w:jc w:val="left"/>
        <w:spacing w:line="420" w:lineRule="auto"/>
        <w:rPr>
          <w:rFonts w:hint="eastAsia" w:ascii="宋体" w:hAnsi="宋体"/>
          <w:color w:val="auto"/>
          <w:szCs w:val="21"/>
          <w:highlight w:val="none"/>
        </w:rPr>
      </w:pPr>
      <w:r>
        <w:rPr>
          <w:rFonts w:hint="eastAsia" w:ascii="宋体" w:hAnsi="宋体"/>
          <w:b/>
          <w:bCs/>
          <w:color w:val="auto"/>
          <w:szCs w:val="21"/>
          <w:highlight w:val="none"/>
          <w:vertAlign w:val="superscript"/>
        </w:rPr>
        <w:t xml:space="preserve">1</w:t>
      </w:r>
      <w:r>
        <w:rPr>
          <w:rFonts w:hint="eastAsia" w:ascii="宋体" w:hAnsi="宋体"/>
          <w:color w:val="auto"/>
          <w:szCs w:val="21"/>
          <w:highlight w:val="none"/>
        </w:rPr>
        <w:t xml:space="preserve">从业人员、营业收入、资产总额填报上一年度数据，无上一年度数据的新成立企业可不填报。</w:t>
      </w:r>
      <w:r/>
    </w:p>
    <w:p>
      <w:pPr>
        <w:ind w:firstLine="422"/>
        <w:jc w:val="left"/>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备注：</w:t>
      </w:r>
      <w:r/>
    </w:p>
    <w:p>
      <w:pPr>
        <w:numPr>
          <w:ilvl w:val="0"/>
          <w:numId w:val="25"/>
        </w:numPr>
        <w:ind w:firstLine="422"/>
        <w:jc w:val="left"/>
        <w:spacing w:line="360" w:lineRule="auto"/>
        <w:rPr>
          <w:color w:val="auto"/>
          <w:szCs w:val="21"/>
          <w:highlight w:val="none"/>
        </w:rPr>
      </w:pPr>
      <w:r>
        <w:rPr>
          <w:rFonts w:hint="eastAsia" w:ascii="宋体" w:hAnsi="宋体"/>
          <w:b/>
          <w:bCs/>
          <w:color w:val="auto"/>
          <w:szCs w:val="21"/>
          <w:highlight w:val="none"/>
        </w:rPr>
        <w:t xml:space="preserve">如供应商所投货物的制造商均为中小企业的，须由供应商在响应文件中提供加盖本单位公章的</w:t>
      </w:r>
      <w:r>
        <w:rPr>
          <w:rFonts w:hint="eastAsia" w:ascii="宋体" w:hAnsi="宋体"/>
          <w:b/>
          <w:color w:val="auto"/>
          <w:szCs w:val="21"/>
          <w:highlight w:val="none"/>
        </w:rPr>
        <w:t xml:space="preserve">声明</w:t>
      </w:r>
      <w:r>
        <w:rPr>
          <w:rFonts w:hint="eastAsia" w:ascii="宋体" w:hAnsi="宋体"/>
          <w:b/>
          <w:bCs/>
          <w:color w:val="auto"/>
          <w:szCs w:val="21"/>
          <w:highlight w:val="none"/>
        </w:rPr>
        <w:t xml:space="preserve">函，供应商应从制造商处获得充分、准确的信息，并对其出具的《中小企业声明函》真实性负责。</w:t>
      </w:r>
      <w:r/>
    </w:p>
    <w:p>
      <w:pPr>
        <w:rPr>
          <w:color w:val="auto"/>
          <w:highlight w:val="none"/>
        </w:rPr>
      </w:pPr>
      <w:r>
        <w:rPr>
          <w:color w:val="auto"/>
          <w:highlight w:val="none"/>
        </w:rPr>
      </w:r>
      <w:r/>
    </w:p>
    <w:p>
      <w:pPr>
        <w:pStyle w:val="1132"/>
        <w:jc w:val="center"/>
        <w:spacing w:before="151" w:after="151" w:line="600" w:lineRule="exact"/>
        <w:rPr>
          <w:rFonts w:ascii="宋体"/>
          <w:b/>
          <w:bCs/>
          <w:color w:val="auto"/>
          <w:sz w:val="32"/>
          <w:szCs w:val="32"/>
          <w:highlight w:val="none"/>
        </w:rPr>
      </w:pPr>
      <w:r>
        <w:rPr>
          <w:rFonts w:hint="eastAsia" w:ascii="宋体"/>
          <w:b/>
          <w:bCs/>
          <w:color w:val="auto"/>
          <w:sz w:val="32"/>
          <w:szCs w:val="32"/>
          <w:highlight w:val="none"/>
        </w:rPr>
        <w:t xml:space="preserve">残疾人福利性单位声明函</w:t>
      </w:r>
      <w:r/>
    </w:p>
    <w:p>
      <w:pPr>
        <w:pStyle w:val="1133"/>
        <w:spacing w:line="588" w:lineRule="exact"/>
        <w:rPr>
          <w:rFonts w:ascii="仿宋_GB2312" w:eastAsia="仿宋_GB2312"/>
          <w:b/>
          <w:color w:val="auto"/>
          <w:spacing w:val="6"/>
          <w:sz w:val="30"/>
          <w:szCs w:val="30"/>
          <w:highlight w:val="none"/>
        </w:rPr>
      </w:pPr>
      <w:r>
        <w:rPr>
          <w:rFonts w:ascii="仿宋_GB2312" w:eastAsia="仿宋_GB2312"/>
          <w:b/>
          <w:color w:val="auto"/>
          <w:spacing w:val="6"/>
          <w:sz w:val="30"/>
          <w:szCs w:val="30"/>
          <w:highlight w:val="none"/>
        </w:rPr>
      </w:r>
      <w:r/>
    </w:p>
    <w:p>
      <w:pPr>
        <w:pStyle w:val="1132"/>
        <w:ind w:firstLine="480"/>
        <w:spacing w:line="500" w:lineRule="exact"/>
        <w:rPr>
          <w:rFonts w:ascii="仿宋_GB2312" w:eastAsia="仿宋_GB2312"/>
          <w:color w:val="auto"/>
          <w:sz w:val="24"/>
          <w:highlight w:val="none"/>
        </w:rPr>
      </w:pPr>
      <w:r>
        <w:rPr>
          <w:rFonts w:hint="eastAsia" w:ascii="仿宋_GB2312" w:eastAsia="仿宋_GB2312"/>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采购单位名称）单位的（采购项目名称）项目采购活动提供本单位制造的货物（由本单位承担工程/提供服务），或者提供其他残疾人福利性单位制造的货物（不包括使用非残疾人福利性单位注册商标的货物）。</w:t>
      </w:r>
      <w:r/>
    </w:p>
    <w:p>
      <w:pPr>
        <w:pStyle w:val="1132"/>
        <w:ind w:firstLine="480"/>
        <w:spacing w:line="500" w:lineRule="exact"/>
        <w:rPr>
          <w:rFonts w:ascii="方正仿宋_GBK" w:eastAsia="方正仿宋_GBK"/>
          <w:color w:val="auto"/>
          <w:sz w:val="24"/>
          <w:highlight w:val="none"/>
        </w:rPr>
      </w:pPr>
      <w:r>
        <w:rPr>
          <w:rFonts w:hint="eastAsia" w:ascii="仿宋_GB2312" w:eastAsia="仿宋_GB2312"/>
          <w:color w:val="auto"/>
          <w:sz w:val="24"/>
          <w:highlight w:val="none"/>
        </w:rPr>
        <w:t xml:space="preserve">本单位对上述声明的真实性负责。如有虚假，将依法承担相应责任。</w:t>
      </w:r>
      <w:r/>
    </w:p>
    <w:p>
      <w:pPr>
        <w:pStyle w:val="1133"/>
        <w:ind w:firstLine="504"/>
        <w:spacing w:line="588" w:lineRule="exact"/>
        <w:rPr>
          <w:rFonts w:ascii="仿宋_GB2312" w:eastAsia="仿宋_GB2312"/>
          <w:color w:val="auto"/>
          <w:spacing w:val="6"/>
          <w:sz w:val="24"/>
          <w:szCs w:val="24"/>
          <w:highlight w:val="none"/>
        </w:rPr>
      </w:pPr>
      <w:r>
        <w:rPr>
          <w:rFonts w:ascii="仿宋_GB2312" w:eastAsia="仿宋_GB2312"/>
          <w:color w:val="auto"/>
          <w:spacing w:val="6"/>
          <w:sz w:val="24"/>
          <w:szCs w:val="24"/>
          <w:highlight w:val="none"/>
        </w:rPr>
      </w:r>
      <w:r/>
    </w:p>
    <w:p>
      <w:pPr>
        <w:pStyle w:val="1133"/>
        <w:ind w:firstLine="504"/>
        <w:spacing w:line="588" w:lineRule="exact"/>
        <w:rPr>
          <w:rFonts w:ascii="仿宋_GB2312" w:eastAsia="仿宋_GB2312"/>
          <w:color w:val="auto"/>
          <w:spacing w:val="6"/>
          <w:sz w:val="24"/>
          <w:szCs w:val="24"/>
          <w:highlight w:val="none"/>
        </w:rPr>
      </w:pPr>
      <w:r>
        <w:rPr>
          <w:rFonts w:ascii="仿宋_GB2312" w:eastAsia="仿宋_GB2312"/>
          <w:color w:val="auto"/>
          <w:spacing w:val="6"/>
          <w:sz w:val="24"/>
          <w:szCs w:val="24"/>
          <w:highlight w:val="none"/>
        </w:rPr>
      </w:r>
      <w:r/>
    </w:p>
    <w:p>
      <w:pPr>
        <w:pStyle w:val="1093"/>
        <w:ind w:firstLine="480"/>
        <w:jc w:val="both"/>
        <w:rPr>
          <w:rFonts w:ascii="仿宋_GB2312" w:eastAsia="仿宋_GB2312" w:cs="Times New Roman"/>
          <w:color w:val="auto"/>
          <w:highlight w:val="none"/>
        </w:rPr>
      </w:pPr>
      <w:r>
        <w:rPr>
          <w:rFonts w:hint="eastAsia" w:ascii="仿宋_GB2312" w:eastAsia="仿宋_GB2312"/>
          <w:color w:val="auto"/>
          <w:highlight w:val="none"/>
        </w:rPr>
        <w:t xml:space="preserve">单位名称：</w:t>
      </w:r>
      <w:r>
        <w:rPr>
          <w:rFonts w:hint="eastAsia" w:hAnsi="宋体"/>
          <w:color w:val="auto"/>
          <w:szCs w:val="21"/>
          <w:highlight w:val="none"/>
          <w:lang w:val="zh-CN"/>
        </w:rPr>
        <w:t xml:space="preserve">（</w:t>
      </w:r>
      <w:r>
        <w:rPr>
          <w:rFonts w:hint="eastAsia" w:hAnsi="宋体"/>
          <w:color w:val="auto"/>
          <w:szCs w:val="21"/>
          <w:highlight w:val="none"/>
        </w:rPr>
        <w:t xml:space="preserve">加盖电子公章</w:t>
      </w:r>
      <w:r>
        <w:rPr>
          <w:rFonts w:hint="eastAsia" w:hAnsi="宋体"/>
          <w:color w:val="auto"/>
          <w:szCs w:val="21"/>
          <w:highlight w:val="none"/>
          <w:lang w:val="zh-CN"/>
        </w:rPr>
        <w:t xml:space="preserve">）</w:t>
      </w:r>
      <w:r/>
    </w:p>
    <w:p>
      <w:pPr>
        <w:pStyle w:val="1116"/>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法定代表人（或授权代表）：（签字或签章）</w:t>
      </w:r>
      <w:r>
        <w:rPr>
          <w:rFonts w:hint="eastAsia" w:ascii="仿宋_GB2312" w:eastAsia="仿宋_GB2312"/>
          <w:color w:val="auto"/>
          <w:sz w:val="24"/>
          <w:highlight w:val="none"/>
          <w:u w:val="single"/>
        </w:rPr>
        <w:t xml:space="preserve">              </w:t>
      </w:r>
      <w:r/>
    </w:p>
    <w:p>
      <w:pPr>
        <w:pStyle w:val="1134"/>
        <w:ind w:firstLine="720"/>
        <w:rPr>
          <w:rFonts w:ascii="仿宋_GB2312" w:eastAsia="仿宋_GB2312"/>
          <w:color w:val="auto"/>
          <w:sz w:val="24"/>
          <w:highlight w:val="none"/>
          <w:u w:val="single"/>
        </w:rPr>
      </w:pPr>
      <w:r>
        <w:rPr>
          <w:rFonts w:ascii="仿宋_GB2312" w:eastAsia="仿宋_GB2312"/>
          <w:color w:val="auto"/>
          <w:sz w:val="24"/>
          <w:highlight w:val="none"/>
          <w:u w:val="single"/>
        </w:rPr>
      </w:r>
      <w:r/>
    </w:p>
    <w:p>
      <w:pPr>
        <w:pStyle w:val="1134"/>
        <w:ind w:firstLine="4320"/>
        <w:rPr>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1135"/>
        <w:rPr>
          <w:rFonts w:hint="eastAsia"/>
          <w:color w:val="auto"/>
          <w:highlight w:val="none"/>
        </w:rPr>
      </w:pPr>
      <w:r>
        <w:rPr>
          <w:rFonts w:hint="eastAsia"/>
          <w:color w:val="auto"/>
          <w:highlight w:val="none"/>
        </w:rPr>
      </w:r>
      <w:r/>
    </w:p>
    <w:p>
      <w:pPr>
        <w:pStyle w:val="1132"/>
        <w:rPr>
          <w:color w:val="auto"/>
          <w:highlight w:val="none"/>
        </w:rPr>
      </w:pPr>
      <w:r>
        <w:rPr>
          <w:rFonts w:hint="eastAsia"/>
          <w:color w:val="auto"/>
          <w:highlight w:val="none"/>
        </w:rPr>
        <w:t xml:space="preserve">注：1、残疾人福利性单位应完整填写此函并提供相关证明材料；</w:t>
      </w:r>
      <w:r/>
    </w:p>
    <w:p>
      <w:pPr>
        <w:pStyle w:val="1132"/>
        <w:ind w:firstLine="420"/>
        <w:rPr>
          <w:color w:val="auto"/>
          <w:highlight w:val="none"/>
        </w:rPr>
      </w:pPr>
      <w:r>
        <w:rPr>
          <w:rFonts w:hint="eastAsia"/>
          <w:color w:val="auto"/>
          <w:highlight w:val="none"/>
        </w:rPr>
        <w:t xml:space="preserve">2、非残疾人福利性单位不需提供此声明函</w:t>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jc w:val="center"/>
        <w:rPr>
          <w:rFonts w:hint="eastAsia"/>
          <w:b/>
          <w:bCs/>
          <w:color w:val="auto"/>
          <w:sz w:val="30"/>
          <w:szCs w:val="30"/>
        </w:rPr>
      </w:pPr>
      <w:r>
        <w:rPr>
          <w:rFonts w:hint="eastAsia"/>
          <w:b/>
          <w:bCs/>
          <w:color w:val="auto"/>
          <w:sz w:val="30"/>
          <w:szCs w:val="30"/>
        </w:rPr>
        <w:t xml:space="preserve">属于监狱企业的证明文件</w:t>
      </w:r>
      <w:r/>
    </w:p>
    <w:p>
      <w:pPr>
        <w:spacing w:line="360" w:lineRule="auto"/>
        <w:rPr>
          <w:rFonts w:hint="eastAsia" w:ascii="宋体" w:hAnsi="宋体"/>
          <w:color w:val="auto"/>
          <w:highlight w:val="none"/>
        </w:rPr>
      </w:pPr>
      <w:r>
        <w:rPr>
          <w:rFonts w:hint="eastAsia" w:ascii="宋体" w:hAnsi="宋体"/>
          <w:color w:val="auto"/>
          <w:highlight w:val="none"/>
        </w:rPr>
        <w:t xml:space="preserve">（提供由省级以上监狱管理局、戒毒管理局(含新疆生产建设兵团)出具的属于监狱企业的证明文件）</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rPr>
          <w:rFonts w:hint="eastAsia" w:ascii="宋体" w:hAnsi="宋体"/>
          <w:b/>
          <w:bCs/>
          <w:color w:val="auto"/>
          <w:highlight w:val="none"/>
        </w:rPr>
      </w:pPr>
      <w:r>
        <w:rPr>
          <w:rFonts w:hint="eastAsia" w:ascii="宋体" w:hAnsi="宋体"/>
          <w:b/>
          <w:bCs/>
          <w:color w:val="auto"/>
          <w:highlight w:val="none"/>
        </w:rPr>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jc w:val="center"/>
        <w:rPr>
          <w:rFonts w:hint="eastAsia"/>
          <w:b/>
          <w:bCs/>
          <w:color w:val="auto"/>
          <w:sz w:val="30"/>
          <w:szCs w:val="30"/>
        </w:rPr>
      </w:pPr>
      <w:r/>
      <w:bookmarkStart w:id="88" w:name="_Toc5876"/>
      <w:r/>
      <w:bookmarkEnd w:id="88"/>
      <w:r>
        <w:rPr>
          <w:rFonts w:hint="eastAsia"/>
          <w:b/>
          <w:bCs/>
          <w:color w:val="auto"/>
          <w:sz w:val="30"/>
          <w:szCs w:val="30"/>
        </w:rPr>
        <w:t xml:space="preserve">节能产品认证证书</w:t>
      </w:r>
      <w:r/>
    </w:p>
    <w:p>
      <w:pPr>
        <w:spacing w:line="360" w:lineRule="auto"/>
        <w:rPr>
          <w:rFonts w:hint="eastAsia" w:ascii="宋体" w:hAnsi="宋体"/>
          <w:color w:val="auto"/>
          <w:highlight w:val="none"/>
        </w:rPr>
      </w:pPr>
      <w:r>
        <w:rPr>
          <w:rFonts w:hint="eastAsia" w:ascii="宋体" w:hAnsi="宋体"/>
          <w:color w:val="auto"/>
          <w:highlight w:val="none"/>
        </w:rPr>
        <w:t xml:space="preserve">（提供国家确定的认证机构出具的、处于有效期之内的产品认证证书）</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jc w:val="center"/>
        <w:rPr>
          <w:rFonts w:hint="eastAsia"/>
          <w:b/>
          <w:bCs/>
          <w:color w:val="auto"/>
          <w:sz w:val="30"/>
          <w:szCs w:val="30"/>
        </w:rPr>
      </w:pPr>
      <w:r/>
      <w:bookmarkStart w:id="89" w:name="_Toc16386"/>
      <w:r/>
      <w:bookmarkEnd w:id="89"/>
      <w:r>
        <w:rPr>
          <w:rFonts w:hint="eastAsia"/>
          <w:b/>
          <w:bCs/>
          <w:color w:val="auto"/>
          <w:sz w:val="30"/>
          <w:szCs w:val="30"/>
        </w:rPr>
        <w:t xml:space="preserve">环境标志产品认证证书</w:t>
      </w:r>
      <w:r/>
    </w:p>
    <w:p>
      <w:pPr>
        <w:spacing w:line="360" w:lineRule="auto"/>
        <w:rPr>
          <w:color w:val="auto"/>
          <w:highlight w:val="none"/>
        </w:rPr>
      </w:pPr>
      <w:r>
        <w:rPr>
          <w:rFonts w:hint="eastAsia" w:ascii="宋体" w:hAnsi="宋体"/>
          <w:color w:val="auto"/>
          <w:highlight w:val="none"/>
        </w:rPr>
        <w:t xml:space="preserve">（提供国家确定的认证机构出具的、处于有效期之内的产品认证证书）</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jc w:val="center"/>
        <w:rPr>
          <w:rFonts w:hint="eastAsia"/>
          <w:b/>
          <w:bCs/>
          <w:color w:val="auto"/>
          <w:sz w:val="30"/>
          <w:szCs w:val="30"/>
        </w:rPr>
      </w:pPr>
      <w:r/>
      <w:bookmarkStart w:id="90" w:name="_Toc1060"/>
      <w:r/>
      <w:bookmarkEnd w:id="90"/>
      <w:r>
        <w:rPr>
          <w:rFonts w:hint="eastAsia"/>
          <w:b/>
          <w:bCs/>
          <w:color w:val="auto"/>
          <w:sz w:val="30"/>
          <w:szCs w:val="30"/>
        </w:rPr>
        <w:t xml:space="preserve">进口产品转让技术、消化吸收再创新方案</w:t>
      </w:r>
      <w:r/>
    </w:p>
    <w:p>
      <w:pPr>
        <w:spacing w:line="360" w:lineRule="auto"/>
        <w:rPr>
          <w:rFonts w:hint="eastAsia" w:ascii="宋体" w:hAnsi="宋体"/>
          <w:color w:val="auto"/>
          <w:highlight w:val="none"/>
        </w:rPr>
      </w:pPr>
      <w:r>
        <w:rPr>
          <w:rFonts w:hint="eastAsia" w:ascii="宋体" w:hAnsi="宋体"/>
          <w:color w:val="auto"/>
          <w:highlight w:val="none"/>
        </w:rPr>
        <w:t xml:space="preserve">（对于允许进口产品参加的项目）</w:t>
      </w:r>
      <w:r/>
    </w:p>
    <w:p>
      <w:pPr>
        <w:rPr>
          <w:rFonts w:hint="eastAsia"/>
          <w:color w:val="auto"/>
        </w:rPr>
      </w:pPr>
      <w:r>
        <w:rPr>
          <w:rFonts w:hint="eastAsia"/>
          <w:color w:val="auto"/>
        </w:rPr>
      </w:r>
      <w:r/>
    </w:p>
    <w:p>
      <w:pPr>
        <w:rPr>
          <w:rFonts w:hint="eastAsia"/>
          <w:color w:val="auto"/>
        </w:rPr>
      </w:pPr>
      <w:r>
        <w:rPr>
          <w:rFonts w:hint="eastAsia"/>
          <w:color w:val="auto"/>
        </w:rPr>
      </w:r>
      <w:r/>
    </w:p>
    <w:p>
      <w:pPr>
        <w:ind w:firstLine="420"/>
        <w:jc w:val="left"/>
        <w:spacing w:line="460" w:lineRule="exact"/>
        <w:widowControl/>
        <w:rPr>
          <w:rFonts w:hint="eastAsia" w:ascii="宋体" w:hAnsi="宋体" w:cs="宋体"/>
          <w:color w:val="auto"/>
          <w:szCs w:val="21"/>
          <w:highlight w:val="none"/>
          <w:lang w:val="zh-CN"/>
        </w:rPr>
        <w:sectPr>
          <w:footerReference w:type="default" r:id="rId11"/>
          <w:footnotePr/>
          <w:endnotePr/>
          <w:type w:val="nextPage"/>
          <w:pgSz w:w="11906" w:h="16838" w:orient="portrait"/>
          <w:pgMar w:top="1417" w:right="1134" w:bottom="1247" w:left="1304" w:header="851" w:footer="992" w:gutter="0"/>
          <w:cols w:num="1" w:sep="0" w:space="720" w:equalWidth="1"/>
          <w:docGrid w:linePitch="360"/>
        </w:sectPr>
      </w:pPr>
      <w:r>
        <w:rPr>
          <w:rFonts w:hint="eastAsia" w:ascii="宋体" w:hAnsi="宋体" w:cs="宋体"/>
          <w:color w:val="auto"/>
          <w:szCs w:val="21"/>
          <w:highlight w:val="none"/>
          <w:lang w:val="zh-CN"/>
        </w:rPr>
      </w:r>
      <w:r/>
    </w:p>
    <w:p>
      <w:pPr>
        <w:pStyle w:val="807"/>
        <w:rPr>
          <w:rFonts w:hint="eastAsia"/>
          <w:color w:val="auto"/>
        </w:rPr>
      </w:pPr>
      <w:r/>
      <w:bookmarkStart w:id="91" w:name="_Toc16234"/>
      <w:r/>
      <w:bookmarkStart w:id="92" w:name="_Toc514054497"/>
      <w:r>
        <w:rPr>
          <w:color w:val="auto"/>
        </w:rPr>
        <w:t xml:space="preserve">十</w:t>
      </w:r>
      <w:r>
        <w:rPr>
          <w:rFonts w:hint="eastAsia"/>
          <w:color w:val="auto"/>
        </w:rPr>
        <w:t xml:space="preserve">一</w:t>
      </w:r>
      <w:r>
        <w:rPr>
          <w:color w:val="auto"/>
        </w:rPr>
        <w:t xml:space="preserve">、响应偏差表</w:t>
      </w:r>
      <w:bookmarkEnd w:id="91"/>
      <w:r/>
      <w:bookmarkEnd w:id="92"/>
      <w:r/>
      <w:r/>
    </w:p>
    <w:p>
      <w:pPr>
        <w:jc w:val="left"/>
        <w:spacing w:line="360" w:lineRule="auto"/>
        <w:widowControl/>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r>
      <w:r/>
    </w:p>
    <w:p>
      <w:pPr>
        <w:jc w:val="center"/>
        <w:rPr>
          <w:rFonts w:hint="eastAsia"/>
          <w:color w:val="auto"/>
          <w:sz w:val="36"/>
          <w:szCs w:val="36"/>
          <w:lang w:val="zh-CN"/>
        </w:rPr>
      </w:pPr>
      <w:r/>
      <w:bookmarkStart w:id="93" w:name="_Toc14329"/>
      <w:r/>
      <w:bookmarkStart w:id="94" w:name="_Toc32603"/>
      <w:r>
        <w:rPr>
          <w:rFonts w:hint="eastAsia"/>
          <w:color w:val="auto"/>
          <w:sz w:val="36"/>
          <w:szCs w:val="36"/>
          <w:lang w:val="zh-CN"/>
        </w:rPr>
        <w:t xml:space="preserve">技术条款偏离表</w:t>
      </w:r>
      <w:bookmarkEnd w:id="93"/>
      <w:r/>
      <w:bookmarkEnd w:id="94"/>
      <w:r/>
      <w:r/>
    </w:p>
    <w:tbl>
      <w:tblPr>
        <w:tblStyle w:val="816"/>
        <w:tblW w:w="9745" w:type="dxa"/>
        <w:jc w:val="center"/>
        <w:tblLayout w:type="fixed"/>
        <w:tblCellMar>
          <w:left w:w="0" w:type="dxa"/>
          <w:top w:w="0" w:type="dxa"/>
          <w:right w:w="0" w:type="dxa"/>
          <w:bottom w:w="0" w:type="dxa"/>
        </w:tblCellMar>
        <w:tblLook w:val="04A0" w:firstRow="1" w:lastRow="0" w:firstColumn="1" w:lastColumn="0" w:noHBand="0" w:noVBand="1"/>
      </w:tblPr>
      <w:tblGrid>
        <w:gridCol w:w="707"/>
        <w:gridCol w:w="1497"/>
        <w:gridCol w:w="2495"/>
        <w:gridCol w:w="1302"/>
        <w:gridCol w:w="659"/>
        <w:gridCol w:w="1417"/>
        <w:gridCol w:w="1668"/>
      </w:tblGrid>
      <w:tr>
        <w:trPr>
          <w:jc w:val="center"/>
          <w:trHeight w:val="285"/>
        </w:trPr>
        <w:tc>
          <w:tcPr>
            <w:gridSpan w:val="4"/>
            <w:tcBorders>
              <w:top w:val="none" w:color="000000" w:sz="4" w:space="0"/>
              <w:left w:val="none" w:color="000000" w:sz="4" w:space="0"/>
              <w:bottom w:val="single" w:color="000000" w:sz="6" w:space="0"/>
              <w:right w:val="none" w:color="000000" w:sz="4" w:space="0"/>
            </w:tcBorders>
            <w:tcW w:w="6001" w:type="dxa"/>
            <w:vAlign w:val="center"/>
            <w:textDirection w:val="lrTb"/>
            <w:noWrap w:val="false"/>
          </w:tcPr>
          <w:p>
            <w:pPr>
              <w:jc w:val="left"/>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项目名称：</w:t>
            </w:r>
            <w:r/>
          </w:p>
        </w:tc>
        <w:tc>
          <w:tcPr>
            <w:gridSpan w:val="2"/>
            <w:tcBorders>
              <w:top w:val="none" w:color="000000" w:sz="4" w:space="0"/>
              <w:left w:val="none" w:color="000000" w:sz="4" w:space="0"/>
              <w:bottom w:val="single" w:color="000000" w:sz="6" w:space="0"/>
              <w:right w:val="none" w:color="000000" w:sz="4" w:space="0"/>
            </w:tcBorders>
            <w:tcW w:w="2076" w:type="dxa"/>
            <w:vAlign w:val="center"/>
            <w:textDirection w:val="lrTb"/>
            <w:noWrap w:val="false"/>
          </w:tcPr>
          <w:p>
            <w:pPr>
              <w:jc w:val="left"/>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项目编号：</w:t>
            </w:r>
            <w:r/>
          </w:p>
        </w:tc>
        <w:tc>
          <w:tcPr>
            <w:tcBorders>
              <w:top w:val="none" w:color="000000" w:sz="4" w:space="0"/>
              <w:left w:val="none" w:color="000000" w:sz="4" w:space="0"/>
              <w:bottom w:val="single" w:color="000000" w:sz="6" w:space="0"/>
              <w:right w:val="none" w:color="000000" w:sz="4" w:space="0"/>
            </w:tcBorders>
            <w:tcW w:w="1668" w:type="dxa"/>
            <w:textDirection w:val="lrTb"/>
            <w:noWrap w:val="false"/>
          </w:tcPr>
          <w:p>
            <w:pPr>
              <w:jc w:val="left"/>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序号</w:t>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采购文件条目号</w:t>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采购文件要求的规格型号</w:t>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参与投标的技术响应</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是否偏离</w:t>
            </w:r>
            <w:r/>
          </w:p>
        </w:tc>
        <w:tc>
          <w:tcPr>
            <w:tcBorders>
              <w:top w:val="single" w:color="000000" w:sz="6" w:space="0"/>
              <w:left w:val="single" w:color="000000" w:sz="6" w:space="0"/>
              <w:bottom w:val="single" w:color="000000" w:sz="6" w:space="0"/>
              <w:right w:val="single" w:color="000000" w:sz="6" w:space="0"/>
            </w:tcBorders>
            <w:tcW w:w="1668"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偏离内容及原因</w:t>
            </w:r>
            <w:r/>
          </w:p>
        </w:tc>
      </w:tr>
      <w:tr>
        <w:trPr>
          <w:jc w:val="center"/>
          <w:trHeight w:val="567"/>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bl>
    <w:p>
      <w:pPr>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供应商名称：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加盖电子公章</w:t>
      </w:r>
      <w:r>
        <w:rPr>
          <w:rFonts w:hint="eastAsia" w:ascii="宋体" w:hAnsi="宋体" w:cs="宋体"/>
          <w:color w:val="auto"/>
          <w:szCs w:val="21"/>
          <w:highlight w:val="none"/>
          <w:lang w:val="zh-CN"/>
        </w:rPr>
        <w:t xml:space="preserve">）</w:t>
      </w:r>
      <w:r/>
    </w:p>
    <w:p>
      <w:pPr>
        <w:jc w:val="left"/>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说明：</w:t>
      </w:r>
      <w:r/>
    </w:p>
    <w:p>
      <w:pPr>
        <w:ind w:firstLine="422"/>
        <w:spacing w:line="460" w:lineRule="exact"/>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 xml:space="preserve">1、供应商应逐一说明投标产品和服务响应，直接拷贝采购文件技术要求的按照无效投标处理；</w:t>
      </w:r>
      <w:r/>
    </w:p>
    <w:p>
      <w:pPr>
        <w:ind w:firstLine="420"/>
        <w:jc w:val="left"/>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2、如果行数不够，请自行增加。</w:t>
      </w:r>
      <w:r/>
    </w:p>
    <w:p>
      <w:pPr>
        <w:jc w:val="left"/>
        <w:spacing w:line="360" w:lineRule="auto"/>
        <w:widowControl/>
        <w:rPr>
          <w:rFonts w:hint="eastAsia" w:ascii="宋体" w:hAnsi="宋体" w:cs="宋体"/>
          <w:b/>
          <w:color w:val="auto"/>
          <w:szCs w:val="21"/>
          <w:highlight w:val="none"/>
          <w:lang w:val="zh-CN"/>
        </w:rPr>
      </w:pPr>
      <w:r>
        <w:rPr>
          <w:rFonts w:ascii="宋体" w:hAnsi="宋体" w:cs="宋体"/>
          <w:b/>
          <w:color w:val="auto"/>
          <w:szCs w:val="21"/>
          <w:highlight w:val="none"/>
          <w:lang w:val="zh-CN"/>
        </w:rPr>
        <w:br w:type="page" w:clear="all"/>
      </w:r>
      <w:r/>
    </w:p>
    <w:p>
      <w:pPr>
        <w:jc w:val="center"/>
        <w:rPr>
          <w:rFonts w:hint="eastAsia"/>
          <w:color w:val="auto"/>
          <w:sz w:val="36"/>
          <w:szCs w:val="36"/>
          <w:lang w:val="zh-CN"/>
        </w:rPr>
      </w:pPr>
      <w:r/>
      <w:bookmarkStart w:id="95" w:name="_Toc8421"/>
      <w:r/>
      <w:bookmarkStart w:id="96" w:name="_Toc2600"/>
      <w:r>
        <w:rPr>
          <w:rFonts w:hint="eastAsia"/>
          <w:color w:val="auto"/>
          <w:sz w:val="36"/>
          <w:szCs w:val="36"/>
          <w:lang w:val="zh-CN"/>
        </w:rPr>
        <w:t xml:space="preserve">商务条款偏离表</w:t>
      </w:r>
      <w:bookmarkEnd w:id="95"/>
      <w:r/>
      <w:bookmarkEnd w:id="96"/>
      <w:r/>
      <w:r/>
    </w:p>
    <w:tbl>
      <w:tblPr>
        <w:tblStyle w:val="816"/>
        <w:tblW w:w="9745" w:type="dxa"/>
        <w:jc w:val="center"/>
        <w:tblLayout w:type="fixed"/>
        <w:tblCellMar>
          <w:left w:w="0" w:type="dxa"/>
          <w:top w:w="0" w:type="dxa"/>
          <w:right w:w="0" w:type="dxa"/>
          <w:bottom w:w="0" w:type="dxa"/>
        </w:tblCellMar>
        <w:tblLook w:val="04A0" w:firstRow="1" w:lastRow="0" w:firstColumn="1" w:lastColumn="0" w:noHBand="0" w:noVBand="1"/>
      </w:tblPr>
      <w:tblGrid>
        <w:gridCol w:w="707"/>
        <w:gridCol w:w="1497"/>
        <w:gridCol w:w="2495"/>
        <w:gridCol w:w="1302"/>
        <w:gridCol w:w="659"/>
        <w:gridCol w:w="1417"/>
        <w:gridCol w:w="1668"/>
      </w:tblGrid>
      <w:tr>
        <w:trPr>
          <w:jc w:val="center"/>
          <w:trHeight w:val="285"/>
        </w:trPr>
        <w:tc>
          <w:tcPr>
            <w:gridSpan w:val="4"/>
            <w:tcBorders>
              <w:top w:val="none" w:color="000000" w:sz="4" w:space="0"/>
              <w:left w:val="none" w:color="000000" w:sz="4" w:space="0"/>
              <w:bottom w:val="single" w:color="000000" w:sz="6" w:space="0"/>
              <w:right w:val="none" w:color="000000" w:sz="4" w:space="0"/>
            </w:tcBorders>
            <w:tcW w:w="6001" w:type="dxa"/>
            <w:vAlign w:val="center"/>
            <w:textDirection w:val="lrTb"/>
            <w:noWrap w:val="false"/>
          </w:tcPr>
          <w:p>
            <w:pPr>
              <w:jc w:val="left"/>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项目名称：</w:t>
            </w:r>
            <w:r/>
          </w:p>
        </w:tc>
        <w:tc>
          <w:tcPr>
            <w:gridSpan w:val="2"/>
            <w:tcBorders>
              <w:top w:val="none" w:color="000000" w:sz="4" w:space="0"/>
              <w:left w:val="none" w:color="000000" w:sz="4" w:space="0"/>
              <w:bottom w:val="single" w:color="000000" w:sz="6" w:space="0"/>
              <w:right w:val="none" w:color="000000" w:sz="4" w:space="0"/>
            </w:tcBorders>
            <w:tcW w:w="2076" w:type="dxa"/>
            <w:vAlign w:val="center"/>
            <w:textDirection w:val="lrTb"/>
            <w:noWrap w:val="false"/>
          </w:tcPr>
          <w:p>
            <w:pPr>
              <w:jc w:val="left"/>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项目编号：</w:t>
            </w:r>
            <w:r/>
          </w:p>
        </w:tc>
        <w:tc>
          <w:tcPr>
            <w:tcBorders>
              <w:top w:val="none" w:color="000000" w:sz="4" w:space="0"/>
              <w:left w:val="none" w:color="000000" w:sz="4" w:space="0"/>
              <w:bottom w:val="single" w:color="000000" w:sz="6" w:space="0"/>
              <w:right w:val="none" w:color="000000" w:sz="4" w:space="0"/>
            </w:tcBorders>
            <w:tcW w:w="1668" w:type="dxa"/>
            <w:textDirection w:val="lrTb"/>
            <w:noWrap w:val="false"/>
          </w:tcPr>
          <w:p>
            <w:pPr>
              <w:jc w:val="left"/>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序号</w:t>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采购文件条目号</w:t>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采购文件要求的商务条款</w:t>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参与投标的商务响应</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是否偏离</w:t>
            </w:r>
            <w:r/>
          </w:p>
        </w:tc>
        <w:tc>
          <w:tcPr>
            <w:tcBorders>
              <w:top w:val="single" w:color="000000" w:sz="6" w:space="0"/>
              <w:left w:val="single" w:color="000000" w:sz="6" w:space="0"/>
              <w:bottom w:val="single" w:color="000000" w:sz="6" w:space="0"/>
              <w:right w:val="single" w:color="000000" w:sz="6" w:space="0"/>
            </w:tcBorders>
            <w:tcW w:w="1668"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供应商的承诺或说明</w:t>
            </w:r>
            <w:r/>
          </w:p>
        </w:tc>
      </w:tr>
      <w:tr>
        <w:trPr>
          <w:jc w:val="center"/>
          <w:trHeight w:val="567"/>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bl>
    <w:p>
      <w:pPr>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供应商名称：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加盖电子公章</w:t>
      </w:r>
      <w:r>
        <w:rPr>
          <w:rFonts w:hint="eastAsia" w:ascii="宋体" w:hAnsi="宋体" w:cs="宋体"/>
          <w:color w:val="auto"/>
          <w:szCs w:val="21"/>
          <w:highlight w:val="none"/>
          <w:lang w:val="zh-CN"/>
        </w:rPr>
        <w:t xml:space="preserve">）</w:t>
      </w:r>
      <w:r/>
    </w:p>
    <w:p>
      <w:pPr>
        <w:jc w:val="left"/>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说明：如果行数不够，请自行增加。</w:t>
      </w:r>
      <w:r/>
    </w:p>
    <w:p>
      <w:pPr>
        <w:spacing w:line="460" w:lineRule="exact"/>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460" w:lineRule="exact"/>
        <w:rPr>
          <w:rFonts w:hint="eastAsia" w:ascii="宋体" w:hAnsi="宋体" w:cs="宋体"/>
          <w:b/>
          <w:color w:val="auto"/>
          <w:highlight w:val="none"/>
        </w:rPr>
      </w:pPr>
      <w:r>
        <w:rPr>
          <w:rFonts w:hint="eastAsia" w:ascii="宋体" w:hAnsi="宋体" w:cs="宋体"/>
          <w:b/>
          <w:color w:val="auto"/>
          <w:highlight w:val="none"/>
        </w:rPr>
      </w:r>
      <w:r/>
    </w:p>
    <w:p>
      <w:pPr>
        <w:spacing w:line="360" w:lineRule="auto"/>
        <w:rPr>
          <w:rFonts w:hint="eastAsia" w:ascii="宋体" w:hAnsi="宋体" w:cs="宋体"/>
          <w:b/>
          <w:color w:val="auto"/>
          <w:highlight w:val="none"/>
        </w:rPr>
      </w:pPr>
      <w:r>
        <w:rPr>
          <w:rFonts w:hint="eastAsia" w:ascii="宋体" w:hAnsi="宋体" w:cs="宋体"/>
          <w:b/>
          <w:color w:val="auto"/>
          <w:highlight w:val="none"/>
        </w:rPr>
      </w:r>
      <w:r/>
    </w:p>
    <w:p>
      <w:pPr>
        <w:pStyle w:val="807"/>
        <w:rPr>
          <w:rFonts w:hint="eastAsia"/>
          <w:i/>
          <w:color w:val="auto"/>
          <w:szCs w:val="32"/>
          <w:highlight w:val="none"/>
          <w:u w:val="single"/>
        </w:rPr>
      </w:pPr>
      <w:r>
        <w:rPr>
          <w:rFonts w:ascii="宋体" w:hAnsi="宋体" w:cs="宋体"/>
          <w:color w:val="auto"/>
          <w:highlight w:val="none"/>
        </w:rPr>
        <w:br w:type="page" w:clear="all"/>
      </w:r>
      <w:bookmarkStart w:id="97" w:name="_Toc27623"/>
      <w:r/>
      <w:bookmarkStart w:id="98" w:name="_Toc23522_WPSOffice_Level2"/>
      <w:r/>
      <w:bookmarkStart w:id="99" w:name="_Toc514054501"/>
      <w:r>
        <w:rPr>
          <w:color w:val="auto"/>
        </w:rPr>
        <w:t xml:space="preserve">十</w:t>
      </w:r>
      <w:r>
        <w:rPr>
          <w:rFonts w:hint="eastAsia"/>
          <w:color w:val="auto"/>
        </w:rPr>
        <w:t xml:space="preserve">二</w:t>
      </w:r>
      <w:r>
        <w:rPr>
          <w:color w:val="auto"/>
        </w:rPr>
        <w:t xml:space="preserve">、</w:t>
      </w:r>
      <w:bookmarkEnd w:id="97"/>
      <w:r/>
      <w:bookmarkEnd w:id="98"/>
      <w:r/>
      <w:bookmarkEnd w:id="99"/>
      <w:r>
        <w:rPr>
          <w:rFonts w:hint="eastAsia"/>
          <w:color w:val="auto"/>
        </w:rPr>
        <w:t xml:space="preserve">投标分项报价表</w:t>
      </w:r>
      <w:r/>
    </w:p>
    <w:p>
      <w:pPr>
        <w:spacing w:line="4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报价说明:</w:t>
      </w:r>
      <w:r/>
    </w:p>
    <w:p>
      <w:pPr>
        <w:spacing w:line="4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1.投标人应按本招标文件第七章提供的采购清单进行报价，且加盖投标人电子公章。</w:t>
      </w:r>
      <w:r/>
    </w:p>
    <w:p>
      <w:pPr>
        <w:spacing w:line="4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.“采购清单汇总表”中“投标报价”数额应当与“开标一览表”中“投标总报价”数额一致。</w:t>
      </w:r>
      <w:r/>
    </w:p>
    <w:p>
      <w:pPr>
        <w:spacing w:line="4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安全生产费为固定价105000元，工伤保险费</w:t>
      </w:r>
      <w:r>
        <w:rPr>
          <w:rFonts w:hint="eastAsia" w:ascii="宋体" w:hAnsi="宋体" w:eastAsia="宋体" w:cs="宋体"/>
          <w:b/>
          <w:bCs/>
          <w:color w:val="auto"/>
          <w:sz w:val="24"/>
          <w:szCs w:val="24"/>
          <w:highlight w:val="none"/>
          <w:lang w:val="en-US" w:eastAsia="zh-CN"/>
        </w:rPr>
        <w:t xml:space="preserve">为</w:t>
      </w:r>
      <w:r>
        <w:rPr>
          <w:rFonts w:hint="eastAsia" w:ascii="宋体" w:hAnsi="宋体" w:eastAsia="宋体" w:cs="宋体"/>
          <w:b/>
          <w:bCs/>
          <w:color w:val="auto"/>
          <w:sz w:val="24"/>
          <w:szCs w:val="24"/>
          <w:highlight w:val="none"/>
        </w:rPr>
        <w:t xml:space="preserve">固定价21000元</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公众责任险</w:t>
      </w:r>
      <w:r>
        <w:rPr>
          <w:rFonts w:hint="eastAsia" w:ascii="宋体" w:hAnsi="宋体" w:eastAsia="宋体" w:cs="宋体"/>
          <w:b/>
          <w:bCs/>
          <w:color w:val="auto"/>
          <w:sz w:val="24"/>
          <w:szCs w:val="24"/>
          <w:highlight w:val="none"/>
          <w:lang w:val="en-US" w:eastAsia="zh-CN"/>
        </w:rPr>
        <w:t xml:space="preserve">为</w:t>
      </w:r>
      <w:r>
        <w:rPr>
          <w:rFonts w:hint="eastAsia" w:ascii="宋体" w:hAnsi="宋体" w:eastAsia="宋体" w:cs="宋体"/>
          <w:b/>
          <w:bCs/>
          <w:color w:val="auto"/>
          <w:sz w:val="24"/>
          <w:szCs w:val="24"/>
          <w:highlight w:val="none"/>
        </w:rPr>
        <w:t xml:space="preserve">固定价80000元</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投标人不得调整该数值，否则作无效投标处理。</w:t>
      </w:r>
      <w:r/>
    </w:p>
    <w:p>
      <w:pPr>
        <w:spacing w:line="460" w:lineRule="exact"/>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供应商应按清单报价，且不得改变清单中的细目号、细目名称、计量单位、</w:t>
      </w:r>
      <w:r>
        <w:rPr>
          <w:rFonts w:hint="eastAsia" w:ascii="宋体" w:hAnsi="宋体" w:eastAsia="宋体" w:cs="宋体"/>
          <w:b/>
          <w:bCs/>
          <w:color w:val="auto"/>
          <w:sz w:val="24"/>
          <w:szCs w:val="24"/>
          <w:highlight w:val="none"/>
          <w:lang w:val="en-US" w:eastAsia="zh-CN"/>
        </w:rPr>
        <w:t xml:space="preserve">数量</w:t>
      </w:r>
      <w:r>
        <w:rPr>
          <w:rFonts w:hint="eastAsia" w:ascii="宋体" w:hAnsi="宋体" w:eastAsia="宋体" w:cs="宋体"/>
          <w:b/>
          <w:bCs/>
          <w:color w:val="auto"/>
          <w:sz w:val="24"/>
          <w:szCs w:val="24"/>
          <w:highlight w:val="none"/>
        </w:rPr>
        <w:t xml:space="preserve">；否则按无效响应处理。安全生产费不得优惠，改变上述金额按无效响应处理。</w:t>
      </w:r>
      <w:r/>
    </w:p>
    <w:p>
      <w:pPr>
        <w:spacing w:line="460" w:lineRule="exact"/>
        <w:rPr>
          <w:rFonts w:hint="eastAsia"/>
          <w:color w:val="auto"/>
          <w:highlight w:val="none"/>
        </w:rPr>
      </w:pPr>
      <w:r>
        <w:rPr>
          <w:rFonts w:hint="eastAsia"/>
          <w:color w:val="auto"/>
          <w:highlight w:val="none"/>
        </w:rPr>
      </w:r>
      <w:r/>
    </w:p>
    <w:p>
      <w:pPr>
        <w:pStyle w:val="1093"/>
        <w:ind w:firstLine="480"/>
        <w:jc w:val="both"/>
        <w:rPr>
          <w:rFonts w:ascii="仿宋_GB2312" w:eastAsia="仿宋_GB2312" w:cs="Times New Roman"/>
          <w:color w:val="auto"/>
          <w:highlight w:val="none"/>
        </w:rPr>
      </w:pPr>
      <w:r>
        <w:rPr>
          <w:rFonts w:hint="eastAsia" w:ascii="仿宋_GB2312" w:eastAsia="仿宋_GB2312"/>
          <w:color w:val="auto"/>
          <w:highlight w:val="none"/>
        </w:rPr>
        <w:t xml:space="preserve">单位名称：</w:t>
      </w:r>
      <w:r>
        <w:rPr>
          <w:rFonts w:hint="eastAsia" w:hAnsi="宋体"/>
          <w:color w:val="auto"/>
          <w:szCs w:val="21"/>
          <w:highlight w:val="none"/>
          <w:lang w:val="zh-CN"/>
        </w:rPr>
        <w:t xml:space="preserve">（</w:t>
      </w:r>
      <w:r>
        <w:rPr>
          <w:rFonts w:hint="eastAsia" w:hAnsi="宋体"/>
          <w:color w:val="auto"/>
          <w:szCs w:val="21"/>
          <w:highlight w:val="none"/>
        </w:rPr>
        <w:t xml:space="preserve">加盖电子公章</w:t>
      </w:r>
      <w:r>
        <w:rPr>
          <w:rFonts w:hint="eastAsia" w:hAnsi="宋体"/>
          <w:color w:val="auto"/>
          <w:szCs w:val="21"/>
          <w:highlight w:val="none"/>
          <w:lang w:val="zh-CN"/>
        </w:rPr>
        <w:t xml:space="preserve">）</w:t>
      </w:r>
      <w:r/>
    </w:p>
    <w:p>
      <w:pPr>
        <w:rPr>
          <w:rFonts w:hint="eastAsia"/>
          <w:color w:val="auto"/>
          <w:lang w:val="zh-CN"/>
        </w:rPr>
      </w:pPr>
      <w:r>
        <w:rPr>
          <w:rFonts w:hint="eastAsia" w:ascii="仿宋_GB2312" w:eastAsia="仿宋_GB2312"/>
          <w:color w:val="auto"/>
          <w:sz w:val="24"/>
          <w:highlight w:val="none"/>
        </w:rPr>
        <w:t xml:space="preserve">法定代表人（或授权代表）：（签字或签章）</w:t>
      </w:r>
      <w:r>
        <w:rPr>
          <w:rFonts w:hint="eastAsia" w:ascii="仿宋_GB2312" w:eastAsia="仿宋_GB2312"/>
          <w:color w:val="auto"/>
          <w:sz w:val="24"/>
          <w:highlight w:val="none"/>
          <w:u w:val="single"/>
        </w:rPr>
        <w:t xml:space="preserve">              </w:t>
      </w:r>
      <w:r/>
    </w:p>
    <w:p>
      <w:pPr>
        <w:pStyle w:val="1138"/>
        <w:ind w:left="-288" w:firstLine="285"/>
        <w:spacing w:before="100" w:beforeAutospacing="1" w:line="480" w:lineRule="exact"/>
        <w:widowControl/>
        <w:rPr>
          <w:rFonts w:ascii="仿宋_GB2312" w:eastAsia="仿宋_GB2312"/>
          <w:bCs/>
          <w:color w:val="auto"/>
          <w:sz w:val="24"/>
          <w:highlight w:val="none"/>
        </w:rPr>
      </w:pPr>
      <w:r>
        <w:rPr>
          <w:rFonts w:ascii="仿宋_GB2312" w:eastAsia="仿宋_GB2312"/>
          <w:bCs/>
          <w:color w:val="auto"/>
          <w:sz w:val="24"/>
          <w:highlight w:val="none"/>
        </w:rPr>
      </w:r>
      <w:r/>
    </w:p>
    <w:p>
      <w:pPr>
        <w:pStyle w:val="1138"/>
        <w:ind w:left="-288" w:firstLine="285"/>
        <w:spacing w:before="100" w:beforeAutospacing="1" w:line="480" w:lineRule="exact"/>
        <w:widowControl/>
        <w:rPr>
          <w:rFonts w:ascii="仿宋_GB2312" w:eastAsia="仿宋_GB2312"/>
          <w:bCs/>
          <w:color w:val="auto"/>
          <w:sz w:val="24"/>
          <w:highlight w:val="none"/>
        </w:rPr>
      </w:pPr>
      <w:r>
        <w:rPr>
          <w:rFonts w:ascii="仿宋_GB2312" w:eastAsia="仿宋_GB2312"/>
          <w:bCs/>
          <w:color w:val="auto"/>
          <w:sz w:val="24"/>
          <w:highlight w:val="none"/>
        </w:rPr>
      </w:r>
      <w:r/>
    </w:p>
    <w:p>
      <w:pPr>
        <w:pStyle w:val="1138"/>
        <w:ind w:left="-288" w:firstLine="285"/>
        <w:spacing w:before="100" w:beforeAutospacing="1" w:line="480" w:lineRule="exact"/>
        <w:widowControl/>
        <w:rPr>
          <w:rFonts w:ascii="仿宋_GB2312" w:eastAsia="仿宋_GB2312"/>
          <w:bCs/>
          <w:color w:val="auto"/>
          <w:sz w:val="24"/>
          <w:highlight w:val="none"/>
        </w:rPr>
      </w:pPr>
      <w:r>
        <w:rPr>
          <w:rFonts w:ascii="仿宋_GB2312" w:eastAsia="仿宋_GB2312"/>
          <w:bCs/>
          <w:color w:val="auto"/>
          <w:sz w:val="24"/>
          <w:highlight w:val="none"/>
        </w:rPr>
      </w:r>
      <w:r/>
    </w:p>
    <w:p>
      <w:pPr>
        <w:pStyle w:val="1138"/>
        <w:ind w:left="-288" w:firstLine="285"/>
        <w:spacing w:before="100" w:beforeAutospacing="1" w:line="480" w:lineRule="exact"/>
        <w:widowControl/>
        <w:rPr>
          <w:rFonts w:ascii="仿宋_GB2312" w:eastAsia="仿宋_GB2312"/>
          <w:bCs/>
          <w:color w:val="auto"/>
          <w:sz w:val="24"/>
          <w:highlight w:val="none"/>
        </w:rPr>
      </w:pPr>
      <w:r>
        <w:rPr>
          <w:rFonts w:ascii="仿宋_GB2312" w:eastAsia="仿宋_GB2312"/>
          <w:bCs/>
          <w:color w:val="auto"/>
          <w:sz w:val="24"/>
          <w:highlight w:val="none"/>
        </w:rPr>
      </w:r>
      <w:r/>
    </w:p>
    <w:p>
      <w:pPr>
        <w:pStyle w:val="1138"/>
        <w:ind w:left="-288" w:firstLine="285"/>
        <w:spacing w:before="100" w:beforeAutospacing="1" w:line="480" w:lineRule="exact"/>
        <w:widowControl/>
        <w:rPr>
          <w:rFonts w:ascii="仿宋_GB2312" w:eastAsia="仿宋_GB2312"/>
          <w:bCs/>
          <w:color w:val="auto"/>
          <w:sz w:val="24"/>
          <w:highlight w:val="none"/>
        </w:rPr>
      </w:pPr>
      <w:r>
        <w:rPr>
          <w:rFonts w:ascii="仿宋_GB2312" w:eastAsia="仿宋_GB2312"/>
          <w:bCs/>
          <w:color w:val="auto"/>
          <w:sz w:val="24"/>
          <w:highlight w:val="none"/>
        </w:rPr>
      </w:r>
      <w:r/>
    </w:p>
    <w:p>
      <w:pPr>
        <w:pStyle w:val="1138"/>
        <w:ind w:left="-288" w:firstLine="285"/>
        <w:spacing w:before="100" w:beforeAutospacing="1" w:line="480" w:lineRule="exact"/>
        <w:widowControl/>
        <w:rPr>
          <w:rFonts w:ascii="仿宋_GB2312" w:eastAsia="仿宋_GB2312"/>
          <w:bCs/>
          <w:color w:val="auto"/>
          <w:sz w:val="24"/>
          <w:highlight w:val="none"/>
        </w:rPr>
      </w:pPr>
      <w:r>
        <w:rPr>
          <w:rFonts w:ascii="仿宋_GB2312" w:eastAsia="仿宋_GB2312"/>
          <w:bCs/>
          <w:color w:val="auto"/>
          <w:sz w:val="24"/>
          <w:highlight w:val="none"/>
        </w:rPr>
      </w:r>
      <w:r/>
    </w:p>
    <w:p>
      <w:pPr>
        <w:pStyle w:val="1138"/>
        <w:ind w:left="-288" w:firstLine="285"/>
        <w:spacing w:before="100" w:beforeAutospacing="1" w:line="480" w:lineRule="exact"/>
        <w:widowControl/>
        <w:rPr>
          <w:rFonts w:ascii="仿宋_GB2312" w:eastAsia="仿宋_GB2312"/>
          <w:bCs/>
          <w:color w:val="auto"/>
          <w:sz w:val="24"/>
          <w:highlight w:val="none"/>
        </w:rPr>
      </w:pPr>
      <w:r>
        <w:rPr>
          <w:rFonts w:ascii="仿宋_GB2312" w:eastAsia="仿宋_GB2312"/>
          <w:bCs/>
          <w:color w:val="auto"/>
          <w:sz w:val="24"/>
          <w:highlight w:val="none"/>
        </w:rPr>
      </w:r>
      <w:r/>
    </w:p>
    <w:p>
      <w:pPr>
        <w:pStyle w:val="1138"/>
        <w:ind w:left="-288" w:firstLine="285"/>
        <w:spacing w:before="100" w:beforeAutospacing="1" w:line="480" w:lineRule="exact"/>
        <w:widowControl/>
        <w:rPr>
          <w:rFonts w:ascii="仿宋_GB2312" w:eastAsia="仿宋_GB2312"/>
          <w:bCs/>
          <w:color w:val="auto"/>
          <w:sz w:val="24"/>
          <w:highlight w:val="none"/>
        </w:rPr>
      </w:pPr>
      <w:r>
        <w:rPr>
          <w:rFonts w:ascii="仿宋_GB2312" w:eastAsia="仿宋_GB2312"/>
          <w:bCs/>
          <w:color w:val="auto"/>
          <w:sz w:val="24"/>
          <w:highlight w:val="none"/>
        </w:rPr>
      </w:r>
      <w:r/>
    </w:p>
    <w:p>
      <w:pPr>
        <w:pStyle w:val="1138"/>
        <w:ind w:left="-288" w:firstLine="285"/>
        <w:spacing w:before="100" w:beforeAutospacing="1" w:line="480" w:lineRule="exact"/>
        <w:widowControl/>
        <w:rPr>
          <w:rFonts w:ascii="仿宋_GB2312" w:eastAsia="仿宋_GB2312"/>
          <w:bCs/>
          <w:color w:val="auto"/>
          <w:sz w:val="24"/>
          <w:highlight w:val="none"/>
        </w:rPr>
      </w:pPr>
      <w:r>
        <w:rPr>
          <w:rFonts w:ascii="仿宋_GB2312" w:eastAsia="仿宋_GB2312"/>
          <w:bCs/>
          <w:color w:val="auto"/>
          <w:sz w:val="24"/>
          <w:highlight w:val="none"/>
        </w:rPr>
      </w:r>
      <w:r/>
    </w:p>
    <w:p>
      <w:pPr>
        <w:pStyle w:val="1138"/>
        <w:ind w:left="-288" w:firstLine="285"/>
        <w:spacing w:before="100" w:beforeAutospacing="1" w:line="480" w:lineRule="exact"/>
        <w:widowControl/>
        <w:rPr>
          <w:rFonts w:ascii="仿宋_GB2312" w:eastAsia="仿宋_GB2312"/>
          <w:bCs/>
          <w:color w:val="auto"/>
          <w:sz w:val="24"/>
          <w:highlight w:val="none"/>
        </w:rPr>
      </w:pPr>
      <w:r>
        <w:rPr>
          <w:rFonts w:ascii="仿宋_GB2312" w:eastAsia="仿宋_GB2312"/>
          <w:bCs/>
          <w:color w:val="auto"/>
          <w:sz w:val="24"/>
          <w:highlight w:val="none"/>
        </w:rPr>
      </w:r>
      <w:r/>
    </w:p>
    <w:p>
      <w:pPr>
        <w:pStyle w:val="1138"/>
        <w:ind w:left="-288" w:firstLine="285"/>
        <w:spacing w:before="100" w:beforeAutospacing="1" w:line="480" w:lineRule="exact"/>
        <w:widowControl/>
        <w:rPr>
          <w:rFonts w:ascii="仿宋_GB2312" w:eastAsia="仿宋_GB2312"/>
          <w:bCs/>
          <w:color w:val="auto"/>
          <w:sz w:val="24"/>
          <w:highlight w:val="none"/>
        </w:rPr>
      </w:pPr>
      <w:r>
        <w:rPr>
          <w:rFonts w:ascii="仿宋_GB2312" w:eastAsia="仿宋_GB2312"/>
          <w:bCs/>
          <w:color w:val="auto"/>
          <w:sz w:val="24"/>
          <w:highlight w:val="none"/>
        </w:rPr>
      </w:r>
      <w:r/>
    </w:p>
    <w:p>
      <w:pPr>
        <w:pStyle w:val="1138"/>
        <w:spacing w:before="100" w:beforeAutospacing="1" w:line="480" w:lineRule="exact"/>
        <w:widowControl/>
        <w:rPr>
          <w:rFonts w:ascii="仿宋_GB2312" w:eastAsia="仿宋_GB2312"/>
          <w:bCs/>
          <w:color w:val="auto"/>
          <w:sz w:val="24"/>
          <w:highlight w:val="none"/>
        </w:rPr>
      </w:pPr>
      <w:r>
        <w:rPr>
          <w:rFonts w:ascii="仿宋_GB2312" w:eastAsia="仿宋_GB2312"/>
          <w:bCs/>
          <w:color w:val="auto"/>
          <w:sz w:val="24"/>
          <w:highlight w:val="none"/>
        </w:rPr>
      </w:r>
      <w:r/>
    </w:p>
    <w:p>
      <w:pPr>
        <w:pStyle w:val="1138"/>
        <w:spacing w:before="100" w:beforeAutospacing="1" w:line="480" w:lineRule="exact"/>
        <w:widowControl/>
        <w:rPr>
          <w:rFonts w:ascii="仿宋_GB2312" w:eastAsia="仿宋_GB2312"/>
          <w:bCs/>
          <w:color w:val="auto"/>
          <w:sz w:val="24"/>
          <w:highlight w:val="none"/>
        </w:rPr>
      </w:pPr>
      <w:r>
        <w:rPr>
          <w:rFonts w:ascii="仿宋_GB2312" w:eastAsia="仿宋_GB2312"/>
          <w:bCs/>
          <w:color w:val="auto"/>
          <w:sz w:val="24"/>
          <w:highlight w:val="none"/>
        </w:rPr>
      </w:r>
      <w:r/>
    </w:p>
    <w:p>
      <w:pPr>
        <w:pStyle w:val="1116"/>
        <w:ind w:firstLine="629"/>
        <w:spacing w:line="700" w:lineRule="exact"/>
        <w:rPr>
          <w:rFonts w:ascii="仿宋_GB2312" w:eastAsia="仿宋_GB2312"/>
          <w:color w:val="auto"/>
          <w:sz w:val="24"/>
          <w:highlight w:val="none"/>
        </w:rPr>
      </w:pPr>
      <w:r>
        <w:rPr>
          <w:rFonts w:ascii="仿宋_GB2312" w:eastAsia="仿宋_GB2312"/>
          <w:color w:val="auto"/>
          <w:sz w:val="24"/>
          <w:highlight w:val="none"/>
        </w:rPr>
      </w:r>
      <w:r/>
    </w:p>
    <w:p>
      <w:pPr>
        <w:pStyle w:val="1139"/>
        <w:ind w:firstLine="480"/>
        <w:rPr>
          <w:rFonts w:hint="eastAsia" w:ascii="黑体" w:hAnsi="黑体" w:eastAsia="黑体"/>
          <w:b/>
          <w:color w:val="auto"/>
          <w:sz w:val="32"/>
          <w:szCs w:val="24"/>
          <w:highlight w:val="none"/>
        </w:rPr>
      </w:pPr>
      <w:r>
        <w:rPr>
          <w:color w:val="auto"/>
          <w:highlight w:val="none"/>
        </w:rPr>
        <w:br w:type="page" w:clear="all"/>
      </w:r>
      <w:bookmarkStart w:id="100" w:name="_Toc15828"/>
      <w:r/>
      <w:bookmarkStart w:id="101" w:name="_Toc25001_WPSOffice_Level2"/>
      <w:r/>
      <w:bookmarkStart w:id="102" w:name="_Toc514054502"/>
      <w:r>
        <w:rPr>
          <w:rFonts w:hint="eastAsia" w:ascii="黑体" w:hAnsi="黑体" w:eastAsia="黑体"/>
          <w:b/>
          <w:color w:val="auto"/>
          <w:sz w:val="32"/>
          <w:szCs w:val="24"/>
          <w:highlight w:val="none"/>
        </w:rPr>
        <w:t xml:space="preserve">十三、</w:t>
      </w:r>
      <w:r>
        <w:rPr>
          <w:rFonts w:hint="eastAsia" w:ascii="黑体" w:hAnsi="黑体" w:eastAsia="黑体"/>
          <w:b/>
          <w:color w:val="auto"/>
          <w:sz w:val="32"/>
          <w:szCs w:val="24"/>
          <w:highlight w:val="none"/>
          <w:lang w:val="zh-CN"/>
        </w:rPr>
        <w:t xml:space="preserve">投标人实施本项目拟投入的专业人员一览表</w:t>
      </w:r>
      <w:r/>
    </w:p>
    <w:tbl>
      <w:tblPr>
        <w:tblStyle w:val="816"/>
        <w:tblW w:w="85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98"/>
        <w:gridCol w:w="1596"/>
        <w:gridCol w:w="2988"/>
        <w:gridCol w:w="2797"/>
      </w:tblGrid>
      <w:tr>
        <w:trPr>
          <w:jc w:val="center"/>
          <w:trHeight w:val="946"/>
        </w:trPr>
        <w:tc>
          <w:tcPr>
            <w:tcW w:w="1198" w:type="dxa"/>
            <w:vAlign w:val="center"/>
            <w:textDirection w:val="lrTb"/>
            <w:noWrap w:val="false"/>
          </w:tcPr>
          <w:p>
            <w:pPr>
              <w:jc w:val="center"/>
              <w:spacing w:line="400" w:lineRule="exact"/>
              <w:rPr>
                <w:b/>
                <w:color w:val="auto"/>
                <w:szCs w:val="21"/>
                <w:highlight w:val="none"/>
              </w:rPr>
            </w:pPr>
            <w:r>
              <w:rPr>
                <w:rFonts w:hint="eastAsia"/>
                <w:b/>
                <w:color w:val="auto"/>
                <w:szCs w:val="21"/>
                <w:highlight w:val="none"/>
              </w:rPr>
              <w:t xml:space="preserve">序号</w:t>
            </w:r>
            <w:r/>
          </w:p>
        </w:tc>
        <w:tc>
          <w:tcPr>
            <w:tcW w:w="1596" w:type="dxa"/>
            <w:vAlign w:val="center"/>
            <w:textDirection w:val="lrTb"/>
            <w:noWrap w:val="false"/>
          </w:tcPr>
          <w:p>
            <w:pPr>
              <w:jc w:val="center"/>
              <w:spacing w:line="400" w:lineRule="exact"/>
              <w:rPr>
                <w:b/>
                <w:color w:val="auto"/>
                <w:szCs w:val="21"/>
                <w:highlight w:val="none"/>
              </w:rPr>
            </w:pPr>
            <w:r>
              <w:rPr>
                <w:rFonts w:hint="eastAsia"/>
                <w:b/>
                <w:color w:val="auto"/>
                <w:szCs w:val="21"/>
                <w:highlight w:val="none"/>
              </w:rPr>
              <w:t xml:space="preserve">姓名</w:t>
            </w:r>
            <w:r/>
          </w:p>
        </w:tc>
        <w:tc>
          <w:tcPr>
            <w:tcW w:w="2988" w:type="dxa"/>
            <w:vAlign w:val="center"/>
            <w:textDirection w:val="lrTb"/>
            <w:noWrap w:val="false"/>
          </w:tcPr>
          <w:p>
            <w:pPr>
              <w:jc w:val="center"/>
              <w:spacing w:line="400" w:lineRule="exact"/>
              <w:rPr>
                <w:b/>
                <w:color w:val="auto"/>
                <w:szCs w:val="21"/>
                <w:highlight w:val="none"/>
              </w:rPr>
            </w:pPr>
            <w:r>
              <w:rPr>
                <w:rFonts w:hint="eastAsia"/>
                <w:b/>
                <w:color w:val="auto"/>
                <w:szCs w:val="21"/>
                <w:highlight w:val="none"/>
              </w:rPr>
              <w:t xml:space="preserve">证书类别、</w:t>
            </w:r>
            <w:r>
              <w:rPr>
                <w:b/>
                <w:color w:val="auto"/>
                <w:szCs w:val="21"/>
                <w:highlight w:val="none"/>
              </w:rPr>
              <w:t xml:space="preserve">编号</w:t>
            </w:r>
            <w:r/>
          </w:p>
        </w:tc>
        <w:tc>
          <w:tcPr>
            <w:tcW w:w="2797" w:type="dxa"/>
            <w:vAlign w:val="center"/>
            <w:textDirection w:val="lrTb"/>
            <w:noWrap w:val="false"/>
          </w:tcPr>
          <w:p>
            <w:pPr>
              <w:jc w:val="center"/>
              <w:spacing w:line="400" w:lineRule="exact"/>
              <w:rPr>
                <w:b/>
                <w:color w:val="auto"/>
                <w:szCs w:val="21"/>
                <w:highlight w:val="none"/>
              </w:rPr>
            </w:pPr>
            <w:r>
              <w:rPr>
                <w:rFonts w:hint="eastAsia"/>
                <w:b/>
                <w:color w:val="auto"/>
                <w:szCs w:val="21"/>
                <w:highlight w:val="none"/>
              </w:rPr>
              <w:t xml:space="preserve">备注</w:t>
            </w:r>
            <w:r/>
          </w:p>
        </w:tc>
      </w:tr>
      <w:tr>
        <w:trPr>
          <w:jc w:val="center"/>
          <w:trHeight w:val="767"/>
        </w:trPr>
        <w:tc>
          <w:tcPr>
            <w:tcW w:w="1198" w:type="dxa"/>
            <w:vAlign w:val="center"/>
            <w:textDirection w:val="lrTb"/>
            <w:noWrap w:val="false"/>
          </w:tcPr>
          <w:p>
            <w:pPr>
              <w:jc w:val="center"/>
              <w:rPr>
                <w:color w:val="auto"/>
                <w:szCs w:val="21"/>
                <w:highlight w:val="none"/>
              </w:rPr>
            </w:pPr>
            <w:r>
              <w:rPr>
                <w:rFonts w:hint="eastAsia"/>
                <w:color w:val="auto"/>
                <w:szCs w:val="21"/>
                <w:highlight w:val="none"/>
              </w:rPr>
              <w:t xml:space="preserve">1</w:t>
            </w:r>
            <w:r/>
          </w:p>
        </w:tc>
        <w:tc>
          <w:tcPr>
            <w:tcW w:w="1596" w:type="dxa"/>
            <w:vAlign w:val="center"/>
            <w:textDirection w:val="lrTb"/>
            <w:noWrap w:val="false"/>
          </w:tcPr>
          <w:p>
            <w:pPr>
              <w:jc w:val="center"/>
              <w:rPr>
                <w:color w:val="auto"/>
                <w:szCs w:val="21"/>
                <w:highlight w:val="none"/>
              </w:rPr>
            </w:pPr>
            <w:r>
              <w:rPr>
                <w:color w:val="auto"/>
                <w:szCs w:val="21"/>
                <w:highlight w:val="none"/>
              </w:rPr>
            </w:r>
            <w:r/>
          </w:p>
        </w:tc>
        <w:tc>
          <w:tcPr>
            <w:tcW w:w="2988" w:type="dxa"/>
            <w:vAlign w:val="center"/>
            <w:textDirection w:val="lrTb"/>
            <w:noWrap w:val="false"/>
          </w:tcPr>
          <w:p>
            <w:pPr>
              <w:jc w:val="center"/>
              <w:rPr>
                <w:color w:val="auto"/>
                <w:szCs w:val="21"/>
                <w:highlight w:val="none"/>
              </w:rPr>
            </w:pPr>
            <w:r>
              <w:rPr>
                <w:color w:val="auto"/>
                <w:szCs w:val="21"/>
                <w:highlight w:val="none"/>
              </w:rPr>
            </w:r>
            <w:r/>
          </w:p>
        </w:tc>
        <w:tc>
          <w:tcPr>
            <w:tcW w:w="2797" w:type="dxa"/>
            <w:vAlign w:val="center"/>
            <w:textDirection w:val="lrTb"/>
            <w:noWrap w:val="false"/>
          </w:tcPr>
          <w:p>
            <w:pPr>
              <w:jc w:val="center"/>
              <w:rPr>
                <w:color w:val="auto"/>
                <w:szCs w:val="21"/>
                <w:highlight w:val="none"/>
              </w:rPr>
            </w:pPr>
            <w:r>
              <w:rPr>
                <w:color w:val="auto"/>
                <w:szCs w:val="21"/>
                <w:highlight w:val="none"/>
              </w:rPr>
            </w:r>
            <w:r/>
          </w:p>
        </w:tc>
      </w:tr>
      <w:tr>
        <w:trPr>
          <w:jc w:val="center"/>
          <w:trHeight w:val="767"/>
        </w:trPr>
        <w:tc>
          <w:tcPr>
            <w:tcW w:w="1198" w:type="dxa"/>
            <w:vAlign w:val="center"/>
            <w:textDirection w:val="lrTb"/>
            <w:noWrap w:val="false"/>
          </w:tcPr>
          <w:p>
            <w:pPr>
              <w:jc w:val="center"/>
              <w:rPr>
                <w:color w:val="auto"/>
                <w:szCs w:val="21"/>
                <w:highlight w:val="none"/>
              </w:rPr>
            </w:pPr>
            <w:r>
              <w:rPr>
                <w:rFonts w:hint="eastAsia"/>
                <w:color w:val="auto"/>
                <w:szCs w:val="21"/>
                <w:highlight w:val="none"/>
              </w:rPr>
              <w:t xml:space="preserve">2</w:t>
            </w:r>
            <w:r/>
          </w:p>
        </w:tc>
        <w:tc>
          <w:tcPr>
            <w:tcW w:w="1596" w:type="dxa"/>
            <w:vAlign w:val="center"/>
            <w:textDirection w:val="lrTb"/>
            <w:noWrap w:val="false"/>
          </w:tcPr>
          <w:p>
            <w:pPr>
              <w:jc w:val="center"/>
              <w:rPr>
                <w:color w:val="auto"/>
                <w:szCs w:val="21"/>
                <w:highlight w:val="none"/>
              </w:rPr>
            </w:pPr>
            <w:r>
              <w:rPr>
                <w:color w:val="auto"/>
                <w:szCs w:val="21"/>
                <w:highlight w:val="none"/>
              </w:rPr>
            </w:r>
            <w:r/>
          </w:p>
        </w:tc>
        <w:tc>
          <w:tcPr>
            <w:tcW w:w="2988" w:type="dxa"/>
            <w:vAlign w:val="center"/>
            <w:textDirection w:val="lrTb"/>
            <w:noWrap w:val="false"/>
          </w:tcPr>
          <w:p>
            <w:pPr>
              <w:jc w:val="center"/>
              <w:rPr>
                <w:color w:val="auto"/>
                <w:szCs w:val="21"/>
                <w:highlight w:val="none"/>
              </w:rPr>
            </w:pPr>
            <w:r>
              <w:rPr>
                <w:color w:val="auto"/>
                <w:szCs w:val="21"/>
                <w:highlight w:val="none"/>
              </w:rPr>
            </w:r>
            <w:r/>
          </w:p>
        </w:tc>
        <w:tc>
          <w:tcPr>
            <w:tcW w:w="2797" w:type="dxa"/>
            <w:vAlign w:val="center"/>
            <w:textDirection w:val="lrTb"/>
            <w:noWrap w:val="false"/>
          </w:tcPr>
          <w:p>
            <w:pPr>
              <w:jc w:val="center"/>
              <w:rPr>
                <w:color w:val="auto"/>
                <w:szCs w:val="21"/>
                <w:highlight w:val="none"/>
              </w:rPr>
            </w:pPr>
            <w:r>
              <w:rPr>
                <w:color w:val="auto"/>
                <w:szCs w:val="21"/>
                <w:highlight w:val="none"/>
              </w:rPr>
            </w:r>
            <w:r/>
          </w:p>
        </w:tc>
      </w:tr>
      <w:tr>
        <w:trPr>
          <w:jc w:val="center"/>
          <w:trHeight w:val="767"/>
        </w:trPr>
        <w:tc>
          <w:tcPr>
            <w:tcW w:w="1198" w:type="dxa"/>
            <w:vAlign w:val="center"/>
            <w:textDirection w:val="lrTb"/>
            <w:noWrap w:val="false"/>
          </w:tcPr>
          <w:p>
            <w:pPr>
              <w:jc w:val="center"/>
              <w:rPr>
                <w:color w:val="auto"/>
                <w:szCs w:val="21"/>
                <w:highlight w:val="none"/>
              </w:rPr>
            </w:pPr>
            <w:r>
              <w:rPr>
                <w:rFonts w:hint="eastAsia"/>
                <w:color w:val="auto"/>
                <w:szCs w:val="21"/>
                <w:highlight w:val="none"/>
              </w:rPr>
              <w:t xml:space="preserve">3</w:t>
            </w:r>
            <w:r/>
          </w:p>
        </w:tc>
        <w:tc>
          <w:tcPr>
            <w:tcW w:w="1596" w:type="dxa"/>
            <w:vAlign w:val="center"/>
            <w:textDirection w:val="lrTb"/>
            <w:noWrap w:val="false"/>
          </w:tcPr>
          <w:p>
            <w:pPr>
              <w:jc w:val="center"/>
              <w:rPr>
                <w:color w:val="auto"/>
                <w:szCs w:val="21"/>
                <w:highlight w:val="none"/>
              </w:rPr>
            </w:pPr>
            <w:r>
              <w:rPr>
                <w:color w:val="auto"/>
                <w:szCs w:val="21"/>
                <w:highlight w:val="none"/>
              </w:rPr>
            </w:r>
            <w:r/>
          </w:p>
        </w:tc>
        <w:tc>
          <w:tcPr>
            <w:tcW w:w="2988" w:type="dxa"/>
            <w:vAlign w:val="center"/>
            <w:textDirection w:val="lrTb"/>
            <w:noWrap w:val="false"/>
          </w:tcPr>
          <w:p>
            <w:pPr>
              <w:jc w:val="center"/>
              <w:rPr>
                <w:color w:val="auto"/>
                <w:szCs w:val="21"/>
                <w:highlight w:val="none"/>
              </w:rPr>
            </w:pPr>
            <w:r>
              <w:rPr>
                <w:color w:val="auto"/>
                <w:szCs w:val="21"/>
                <w:highlight w:val="none"/>
              </w:rPr>
            </w:r>
            <w:r/>
          </w:p>
        </w:tc>
        <w:tc>
          <w:tcPr>
            <w:tcW w:w="2797" w:type="dxa"/>
            <w:vAlign w:val="center"/>
            <w:textDirection w:val="lrTb"/>
            <w:noWrap w:val="false"/>
          </w:tcPr>
          <w:p>
            <w:pPr>
              <w:jc w:val="center"/>
              <w:rPr>
                <w:color w:val="auto"/>
                <w:szCs w:val="21"/>
                <w:highlight w:val="none"/>
              </w:rPr>
            </w:pPr>
            <w:r>
              <w:rPr>
                <w:color w:val="auto"/>
                <w:szCs w:val="21"/>
                <w:highlight w:val="none"/>
              </w:rPr>
            </w:r>
            <w:r/>
          </w:p>
        </w:tc>
      </w:tr>
      <w:tr>
        <w:trPr>
          <w:jc w:val="center"/>
          <w:trHeight w:val="767"/>
        </w:trPr>
        <w:tc>
          <w:tcPr>
            <w:tcW w:w="1198" w:type="dxa"/>
            <w:vAlign w:val="center"/>
            <w:textDirection w:val="lrTb"/>
            <w:noWrap w:val="false"/>
          </w:tcPr>
          <w:p>
            <w:pPr>
              <w:jc w:val="center"/>
              <w:rPr>
                <w:color w:val="auto"/>
                <w:szCs w:val="21"/>
                <w:highlight w:val="none"/>
              </w:rPr>
            </w:pPr>
            <w:r>
              <w:rPr>
                <w:rFonts w:hint="eastAsia"/>
                <w:color w:val="auto"/>
                <w:szCs w:val="21"/>
                <w:highlight w:val="none"/>
              </w:rPr>
              <w:t xml:space="preserve">4</w:t>
            </w:r>
            <w:r/>
          </w:p>
        </w:tc>
        <w:tc>
          <w:tcPr>
            <w:tcW w:w="1596" w:type="dxa"/>
            <w:vAlign w:val="center"/>
            <w:textDirection w:val="lrTb"/>
            <w:noWrap w:val="false"/>
          </w:tcPr>
          <w:p>
            <w:pPr>
              <w:jc w:val="center"/>
              <w:rPr>
                <w:color w:val="auto"/>
                <w:szCs w:val="21"/>
                <w:highlight w:val="none"/>
              </w:rPr>
            </w:pPr>
            <w:r>
              <w:rPr>
                <w:color w:val="auto"/>
                <w:szCs w:val="21"/>
                <w:highlight w:val="none"/>
              </w:rPr>
            </w:r>
            <w:r/>
          </w:p>
        </w:tc>
        <w:tc>
          <w:tcPr>
            <w:tcW w:w="2988" w:type="dxa"/>
            <w:vAlign w:val="center"/>
            <w:textDirection w:val="lrTb"/>
            <w:noWrap w:val="false"/>
          </w:tcPr>
          <w:p>
            <w:pPr>
              <w:jc w:val="center"/>
              <w:rPr>
                <w:color w:val="auto"/>
                <w:szCs w:val="21"/>
                <w:highlight w:val="none"/>
              </w:rPr>
            </w:pPr>
            <w:r>
              <w:rPr>
                <w:color w:val="auto"/>
                <w:szCs w:val="21"/>
                <w:highlight w:val="none"/>
              </w:rPr>
            </w:r>
            <w:r/>
          </w:p>
        </w:tc>
        <w:tc>
          <w:tcPr>
            <w:tcW w:w="2797" w:type="dxa"/>
            <w:vAlign w:val="center"/>
            <w:textDirection w:val="lrTb"/>
            <w:noWrap w:val="false"/>
          </w:tcPr>
          <w:p>
            <w:pPr>
              <w:jc w:val="center"/>
              <w:rPr>
                <w:color w:val="auto"/>
                <w:szCs w:val="21"/>
                <w:highlight w:val="none"/>
              </w:rPr>
            </w:pPr>
            <w:r>
              <w:rPr>
                <w:color w:val="auto"/>
                <w:szCs w:val="21"/>
                <w:highlight w:val="none"/>
              </w:rPr>
            </w:r>
            <w:r/>
          </w:p>
        </w:tc>
      </w:tr>
      <w:tr>
        <w:trPr>
          <w:jc w:val="center"/>
          <w:trHeight w:val="767"/>
        </w:trPr>
        <w:tc>
          <w:tcPr>
            <w:tcW w:w="1198" w:type="dxa"/>
            <w:vAlign w:val="center"/>
            <w:textDirection w:val="lrTb"/>
            <w:noWrap w:val="false"/>
          </w:tcPr>
          <w:p>
            <w:pPr>
              <w:jc w:val="center"/>
              <w:rPr>
                <w:color w:val="auto"/>
                <w:szCs w:val="21"/>
                <w:highlight w:val="none"/>
              </w:rPr>
            </w:pPr>
            <w:r>
              <w:rPr>
                <w:rFonts w:hint="eastAsia"/>
                <w:color w:val="auto"/>
                <w:szCs w:val="21"/>
                <w:highlight w:val="none"/>
              </w:rPr>
              <w:t xml:space="preserve">5</w:t>
            </w:r>
            <w:r/>
          </w:p>
        </w:tc>
        <w:tc>
          <w:tcPr>
            <w:tcW w:w="1596" w:type="dxa"/>
            <w:vAlign w:val="center"/>
            <w:textDirection w:val="lrTb"/>
            <w:noWrap w:val="false"/>
          </w:tcPr>
          <w:p>
            <w:pPr>
              <w:jc w:val="center"/>
              <w:rPr>
                <w:color w:val="auto"/>
                <w:szCs w:val="21"/>
                <w:highlight w:val="none"/>
              </w:rPr>
            </w:pPr>
            <w:r>
              <w:rPr>
                <w:color w:val="auto"/>
                <w:szCs w:val="21"/>
                <w:highlight w:val="none"/>
              </w:rPr>
            </w:r>
            <w:r/>
          </w:p>
        </w:tc>
        <w:tc>
          <w:tcPr>
            <w:tcW w:w="2988" w:type="dxa"/>
            <w:vAlign w:val="center"/>
            <w:textDirection w:val="lrTb"/>
            <w:noWrap w:val="false"/>
          </w:tcPr>
          <w:p>
            <w:pPr>
              <w:jc w:val="center"/>
              <w:rPr>
                <w:color w:val="auto"/>
                <w:szCs w:val="21"/>
                <w:highlight w:val="none"/>
              </w:rPr>
            </w:pPr>
            <w:r>
              <w:rPr>
                <w:color w:val="auto"/>
                <w:szCs w:val="21"/>
                <w:highlight w:val="none"/>
              </w:rPr>
            </w:r>
            <w:r/>
          </w:p>
        </w:tc>
        <w:tc>
          <w:tcPr>
            <w:tcW w:w="2797" w:type="dxa"/>
            <w:vAlign w:val="center"/>
            <w:textDirection w:val="lrTb"/>
            <w:noWrap w:val="false"/>
          </w:tcPr>
          <w:p>
            <w:pPr>
              <w:jc w:val="center"/>
              <w:rPr>
                <w:color w:val="auto"/>
                <w:szCs w:val="21"/>
                <w:highlight w:val="none"/>
              </w:rPr>
            </w:pPr>
            <w:r>
              <w:rPr>
                <w:color w:val="auto"/>
                <w:szCs w:val="21"/>
                <w:highlight w:val="none"/>
              </w:rPr>
            </w:r>
            <w:r/>
          </w:p>
        </w:tc>
      </w:tr>
      <w:tr>
        <w:trPr>
          <w:jc w:val="center"/>
          <w:trHeight w:val="767"/>
        </w:trPr>
        <w:tc>
          <w:tcPr>
            <w:tcW w:w="1198" w:type="dxa"/>
            <w:vAlign w:val="center"/>
            <w:textDirection w:val="lrTb"/>
            <w:noWrap w:val="false"/>
          </w:tcPr>
          <w:p>
            <w:pPr>
              <w:jc w:val="center"/>
              <w:rPr>
                <w:color w:val="auto"/>
                <w:szCs w:val="21"/>
                <w:highlight w:val="none"/>
              </w:rPr>
            </w:pPr>
            <w:r>
              <w:rPr>
                <w:color w:val="auto"/>
                <w:szCs w:val="21"/>
                <w:highlight w:val="none"/>
              </w:rPr>
            </w:r>
            <w:r/>
          </w:p>
        </w:tc>
        <w:tc>
          <w:tcPr>
            <w:tcW w:w="1596" w:type="dxa"/>
            <w:vAlign w:val="center"/>
            <w:textDirection w:val="lrTb"/>
            <w:noWrap w:val="false"/>
          </w:tcPr>
          <w:p>
            <w:pPr>
              <w:jc w:val="center"/>
              <w:rPr>
                <w:color w:val="auto"/>
                <w:szCs w:val="21"/>
                <w:highlight w:val="none"/>
              </w:rPr>
            </w:pPr>
            <w:r>
              <w:rPr>
                <w:color w:val="auto"/>
                <w:szCs w:val="21"/>
                <w:highlight w:val="none"/>
              </w:rPr>
            </w:r>
            <w:r/>
          </w:p>
        </w:tc>
        <w:tc>
          <w:tcPr>
            <w:tcW w:w="2988" w:type="dxa"/>
            <w:vAlign w:val="center"/>
            <w:textDirection w:val="lrTb"/>
            <w:noWrap w:val="false"/>
          </w:tcPr>
          <w:p>
            <w:pPr>
              <w:jc w:val="center"/>
              <w:rPr>
                <w:color w:val="auto"/>
                <w:szCs w:val="21"/>
                <w:highlight w:val="none"/>
              </w:rPr>
            </w:pPr>
            <w:r>
              <w:rPr>
                <w:color w:val="auto"/>
                <w:szCs w:val="21"/>
                <w:highlight w:val="none"/>
              </w:rPr>
            </w:r>
            <w:r/>
          </w:p>
        </w:tc>
        <w:tc>
          <w:tcPr>
            <w:tcW w:w="2797" w:type="dxa"/>
            <w:vAlign w:val="center"/>
            <w:textDirection w:val="lrTb"/>
            <w:noWrap w:val="false"/>
          </w:tcPr>
          <w:p>
            <w:pPr>
              <w:jc w:val="center"/>
              <w:rPr>
                <w:color w:val="auto"/>
                <w:szCs w:val="21"/>
                <w:highlight w:val="none"/>
              </w:rPr>
            </w:pPr>
            <w:r>
              <w:rPr>
                <w:color w:val="auto"/>
                <w:szCs w:val="21"/>
                <w:highlight w:val="none"/>
              </w:rPr>
            </w:r>
            <w:r/>
          </w:p>
        </w:tc>
      </w:tr>
      <w:tr>
        <w:trPr>
          <w:jc w:val="center"/>
          <w:trHeight w:val="767"/>
        </w:trPr>
        <w:tc>
          <w:tcPr>
            <w:tcW w:w="1198" w:type="dxa"/>
            <w:vAlign w:val="center"/>
            <w:textDirection w:val="lrTb"/>
            <w:noWrap w:val="false"/>
          </w:tcPr>
          <w:p>
            <w:pPr>
              <w:jc w:val="center"/>
              <w:rPr>
                <w:color w:val="auto"/>
                <w:szCs w:val="21"/>
                <w:highlight w:val="none"/>
              </w:rPr>
            </w:pPr>
            <w:r>
              <w:rPr>
                <w:color w:val="auto"/>
                <w:szCs w:val="21"/>
                <w:highlight w:val="none"/>
              </w:rPr>
            </w:r>
            <w:r/>
          </w:p>
        </w:tc>
        <w:tc>
          <w:tcPr>
            <w:tcW w:w="1596" w:type="dxa"/>
            <w:vAlign w:val="center"/>
            <w:textDirection w:val="lrTb"/>
            <w:noWrap w:val="false"/>
          </w:tcPr>
          <w:p>
            <w:pPr>
              <w:jc w:val="center"/>
              <w:rPr>
                <w:color w:val="auto"/>
                <w:szCs w:val="21"/>
                <w:highlight w:val="none"/>
              </w:rPr>
            </w:pPr>
            <w:r>
              <w:rPr>
                <w:color w:val="auto"/>
                <w:szCs w:val="21"/>
                <w:highlight w:val="none"/>
              </w:rPr>
            </w:r>
            <w:r/>
          </w:p>
        </w:tc>
        <w:tc>
          <w:tcPr>
            <w:tcW w:w="2988" w:type="dxa"/>
            <w:vAlign w:val="center"/>
            <w:textDirection w:val="lrTb"/>
            <w:noWrap w:val="false"/>
          </w:tcPr>
          <w:p>
            <w:pPr>
              <w:jc w:val="center"/>
              <w:rPr>
                <w:color w:val="auto"/>
                <w:szCs w:val="21"/>
                <w:highlight w:val="none"/>
              </w:rPr>
            </w:pPr>
            <w:r>
              <w:rPr>
                <w:color w:val="auto"/>
                <w:szCs w:val="21"/>
                <w:highlight w:val="none"/>
              </w:rPr>
            </w:r>
            <w:r/>
          </w:p>
        </w:tc>
        <w:tc>
          <w:tcPr>
            <w:tcW w:w="2797" w:type="dxa"/>
            <w:vAlign w:val="center"/>
            <w:textDirection w:val="lrTb"/>
            <w:noWrap w:val="false"/>
          </w:tcPr>
          <w:p>
            <w:pPr>
              <w:jc w:val="center"/>
              <w:rPr>
                <w:color w:val="auto"/>
                <w:szCs w:val="21"/>
                <w:highlight w:val="none"/>
              </w:rPr>
            </w:pPr>
            <w:r>
              <w:rPr>
                <w:color w:val="auto"/>
                <w:szCs w:val="21"/>
                <w:highlight w:val="none"/>
              </w:rPr>
            </w:r>
            <w:r/>
          </w:p>
        </w:tc>
      </w:tr>
      <w:tr>
        <w:trPr>
          <w:jc w:val="center"/>
          <w:trHeight w:val="767"/>
        </w:trPr>
        <w:tc>
          <w:tcPr>
            <w:tcW w:w="1198" w:type="dxa"/>
            <w:vAlign w:val="center"/>
            <w:textDirection w:val="lrTb"/>
            <w:noWrap w:val="false"/>
          </w:tcPr>
          <w:p>
            <w:pPr>
              <w:jc w:val="center"/>
              <w:rPr>
                <w:color w:val="auto"/>
                <w:szCs w:val="21"/>
                <w:highlight w:val="none"/>
              </w:rPr>
            </w:pPr>
            <w:r>
              <w:rPr>
                <w:color w:val="auto"/>
                <w:szCs w:val="21"/>
                <w:highlight w:val="none"/>
              </w:rPr>
            </w:r>
            <w:r/>
          </w:p>
        </w:tc>
        <w:tc>
          <w:tcPr>
            <w:tcW w:w="1596" w:type="dxa"/>
            <w:vAlign w:val="center"/>
            <w:textDirection w:val="lrTb"/>
            <w:noWrap w:val="false"/>
          </w:tcPr>
          <w:p>
            <w:pPr>
              <w:jc w:val="center"/>
              <w:rPr>
                <w:color w:val="auto"/>
                <w:szCs w:val="21"/>
                <w:highlight w:val="none"/>
              </w:rPr>
            </w:pPr>
            <w:r>
              <w:rPr>
                <w:color w:val="auto"/>
                <w:szCs w:val="21"/>
                <w:highlight w:val="none"/>
              </w:rPr>
            </w:r>
            <w:r/>
          </w:p>
        </w:tc>
        <w:tc>
          <w:tcPr>
            <w:tcW w:w="2988" w:type="dxa"/>
            <w:vAlign w:val="center"/>
            <w:textDirection w:val="lrTb"/>
            <w:noWrap w:val="false"/>
          </w:tcPr>
          <w:p>
            <w:pPr>
              <w:jc w:val="center"/>
              <w:rPr>
                <w:color w:val="auto"/>
                <w:szCs w:val="21"/>
                <w:highlight w:val="none"/>
              </w:rPr>
            </w:pPr>
            <w:r>
              <w:rPr>
                <w:color w:val="auto"/>
                <w:szCs w:val="21"/>
                <w:highlight w:val="none"/>
              </w:rPr>
            </w:r>
            <w:r/>
          </w:p>
        </w:tc>
        <w:tc>
          <w:tcPr>
            <w:tcW w:w="2797" w:type="dxa"/>
            <w:vAlign w:val="center"/>
            <w:textDirection w:val="lrTb"/>
            <w:noWrap w:val="false"/>
          </w:tcPr>
          <w:p>
            <w:pPr>
              <w:jc w:val="center"/>
              <w:rPr>
                <w:color w:val="auto"/>
                <w:szCs w:val="21"/>
                <w:highlight w:val="none"/>
              </w:rPr>
            </w:pPr>
            <w:r>
              <w:rPr>
                <w:color w:val="auto"/>
                <w:szCs w:val="21"/>
                <w:highlight w:val="none"/>
              </w:rPr>
            </w:r>
            <w:r/>
          </w:p>
        </w:tc>
      </w:tr>
      <w:tr>
        <w:trPr>
          <w:jc w:val="center"/>
          <w:trHeight w:val="767"/>
        </w:trPr>
        <w:tc>
          <w:tcPr>
            <w:tcW w:w="1198" w:type="dxa"/>
            <w:vAlign w:val="center"/>
            <w:textDirection w:val="lrTb"/>
            <w:noWrap w:val="false"/>
          </w:tcPr>
          <w:p>
            <w:pPr>
              <w:jc w:val="center"/>
              <w:rPr>
                <w:color w:val="auto"/>
                <w:szCs w:val="21"/>
                <w:highlight w:val="none"/>
              </w:rPr>
            </w:pPr>
            <w:r>
              <w:rPr>
                <w:color w:val="auto"/>
                <w:szCs w:val="21"/>
                <w:highlight w:val="none"/>
              </w:rPr>
            </w:r>
            <w:r/>
          </w:p>
        </w:tc>
        <w:tc>
          <w:tcPr>
            <w:tcW w:w="1596" w:type="dxa"/>
            <w:vAlign w:val="center"/>
            <w:textDirection w:val="lrTb"/>
            <w:noWrap w:val="false"/>
          </w:tcPr>
          <w:p>
            <w:pPr>
              <w:jc w:val="center"/>
              <w:rPr>
                <w:color w:val="auto"/>
                <w:szCs w:val="21"/>
                <w:highlight w:val="none"/>
              </w:rPr>
            </w:pPr>
            <w:r>
              <w:rPr>
                <w:color w:val="auto"/>
                <w:szCs w:val="21"/>
                <w:highlight w:val="none"/>
              </w:rPr>
            </w:r>
            <w:r/>
          </w:p>
        </w:tc>
        <w:tc>
          <w:tcPr>
            <w:tcW w:w="2988" w:type="dxa"/>
            <w:vAlign w:val="center"/>
            <w:textDirection w:val="lrTb"/>
            <w:noWrap w:val="false"/>
          </w:tcPr>
          <w:p>
            <w:pPr>
              <w:jc w:val="center"/>
              <w:rPr>
                <w:color w:val="auto"/>
                <w:szCs w:val="21"/>
                <w:highlight w:val="none"/>
              </w:rPr>
            </w:pPr>
            <w:r>
              <w:rPr>
                <w:color w:val="auto"/>
                <w:szCs w:val="21"/>
                <w:highlight w:val="none"/>
              </w:rPr>
            </w:r>
            <w:r/>
          </w:p>
        </w:tc>
        <w:tc>
          <w:tcPr>
            <w:tcW w:w="2797" w:type="dxa"/>
            <w:vAlign w:val="center"/>
            <w:textDirection w:val="lrTb"/>
            <w:noWrap w:val="false"/>
          </w:tcPr>
          <w:p>
            <w:pPr>
              <w:jc w:val="center"/>
              <w:rPr>
                <w:color w:val="auto"/>
                <w:szCs w:val="21"/>
                <w:highlight w:val="none"/>
              </w:rPr>
            </w:pPr>
            <w:r>
              <w:rPr>
                <w:color w:val="auto"/>
                <w:szCs w:val="21"/>
                <w:highlight w:val="none"/>
              </w:rPr>
            </w:r>
            <w:r/>
          </w:p>
        </w:tc>
      </w:tr>
      <w:tr>
        <w:trPr>
          <w:jc w:val="center"/>
          <w:trHeight w:val="787"/>
        </w:trPr>
        <w:tc>
          <w:tcPr>
            <w:tcW w:w="1198" w:type="dxa"/>
            <w:vAlign w:val="center"/>
            <w:textDirection w:val="lrTb"/>
            <w:noWrap w:val="false"/>
          </w:tcPr>
          <w:p>
            <w:pPr>
              <w:jc w:val="center"/>
              <w:rPr>
                <w:color w:val="auto"/>
                <w:szCs w:val="21"/>
                <w:highlight w:val="none"/>
              </w:rPr>
            </w:pPr>
            <w:r>
              <w:rPr>
                <w:color w:val="auto"/>
                <w:szCs w:val="21"/>
                <w:highlight w:val="none"/>
              </w:rPr>
            </w:r>
            <w:r/>
          </w:p>
        </w:tc>
        <w:tc>
          <w:tcPr>
            <w:tcW w:w="1596" w:type="dxa"/>
            <w:vAlign w:val="center"/>
            <w:textDirection w:val="lrTb"/>
            <w:noWrap w:val="false"/>
          </w:tcPr>
          <w:p>
            <w:pPr>
              <w:jc w:val="center"/>
              <w:rPr>
                <w:color w:val="auto"/>
                <w:szCs w:val="21"/>
                <w:highlight w:val="none"/>
              </w:rPr>
            </w:pPr>
            <w:r>
              <w:rPr>
                <w:color w:val="auto"/>
                <w:szCs w:val="21"/>
                <w:highlight w:val="none"/>
              </w:rPr>
            </w:r>
            <w:r/>
          </w:p>
        </w:tc>
        <w:tc>
          <w:tcPr>
            <w:tcW w:w="2988" w:type="dxa"/>
            <w:vAlign w:val="center"/>
            <w:textDirection w:val="lrTb"/>
            <w:noWrap w:val="false"/>
          </w:tcPr>
          <w:p>
            <w:pPr>
              <w:jc w:val="center"/>
              <w:rPr>
                <w:color w:val="auto"/>
                <w:szCs w:val="21"/>
                <w:highlight w:val="none"/>
              </w:rPr>
            </w:pPr>
            <w:r>
              <w:rPr>
                <w:color w:val="auto"/>
                <w:szCs w:val="21"/>
                <w:highlight w:val="none"/>
              </w:rPr>
            </w:r>
            <w:r/>
          </w:p>
        </w:tc>
        <w:tc>
          <w:tcPr>
            <w:tcW w:w="2797" w:type="dxa"/>
            <w:vAlign w:val="center"/>
            <w:textDirection w:val="lrTb"/>
            <w:noWrap w:val="false"/>
          </w:tcPr>
          <w:p>
            <w:pPr>
              <w:jc w:val="center"/>
              <w:rPr>
                <w:color w:val="auto"/>
                <w:szCs w:val="21"/>
                <w:highlight w:val="none"/>
              </w:rPr>
            </w:pPr>
            <w:r>
              <w:rPr>
                <w:color w:val="auto"/>
                <w:szCs w:val="21"/>
                <w:highlight w:val="none"/>
              </w:rPr>
            </w:r>
            <w:r/>
          </w:p>
        </w:tc>
      </w:tr>
    </w:tbl>
    <w:p>
      <w:pPr>
        <w:pStyle w:val="1093"/>
        <w:ind w:firstLine="480"/>
        <w:jc w:val="both"/>
        <w:rPr>
          <w:rFonts w:ascii="仿宋_GB2312" w:eastAsia="仿宋_GB2312" w:cs="Times New Roman"/>
          <w:color w:val="auto"/>
          <w:highlight w:val="none"/>
        </w:rPr>
      </w:pPr>
      <w:r>
        <w:rPr>
          <w:rFonts w:hint="eastAsia" w:ascii="仿宋_GB2312" w:eastAsia="仿宋_GB2312"/>
          <w:color w:val="auto"/>
          <w:highlight w:val="none"/>
        </w:rPr>
        <w:t xml:space="preserve">单位名称：</w:t>
      </w:r>
      <w:r>
        <w:rPr>
          <w:rFonts w:hint="eastAsia" w:hAnsi="宋体"/>
          <w:color w:val="auto"/>
          <w:szCs w:val="21"/>
          <w:highlight w:val="none"/>
          <w:lang w:val="zh-CN"/>
        </w:rPr>
        <w:t xml:space="preserve">（</w:t>
      </w:r>
      <w:r>
        <w:rPr>
          <w:rFonts w:hint="eastAsia" w:hAnsi="宋体"/>
          <w:color w:val="auto"/>
          <w:szCs w:val="21"/>
          <w:highlight w:val="none"/>
        </w:rPr>
        <w:t xml:space="preserve">加盖电子公章</w:t>
      </w:r>
      <w:r>
        <w:rPr>
          <w:rFonts w:hint="eastAsia" w:hAnsi="宋体"/>
          <w:color w:val="auto"/>
          <w:szCs w:val="21"/>
          <w:highlight w:val="none"/>
          <w:lang w:val="zh-CN"/>
        </w:rPr>
        <w:t xml:space="preserve">）</w:t>
      </w:r>
      <w:r/>
    </w:p>
    <w:p>
      <w:pPr>
        <w:pStyle w:val="1116"/>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法定代表人（或授权代表）：（签字或签章）</w:t>
      </w:r>
      <w:r>
        <w:rPr>
          <w:rFonts w:hint="eastAsia" w:ascii="仿宋_GB2312" w:eastAsia="仿宋_GB2312"/>
          <w:color w:val="auto"/>
          <w:sz w:val="24"/>
          <w:highlight w:val="none"/>
          <w:u w:val="single"/>
        </w:rPr>
        <w:t xml:space="preserve">              </w:t>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pStyle w:val="845"/>
        <w:rPr>
          <w:rFonts w:hint="eastAsia"/>
          <w:color w:val="auto"/>
        </w:rPr>
      </w:pPr>
      <w:r>
        <w:rPr>
          <w:rFonts w:hint="eastAsia"/>
          <w:color w:val="auto"/>
        </w:rPr>
      </w:r>
      <w:r/>
    </w:p>
    <w:p>
      <w:pPr>
        <w:pStyle w:val="845"/>
        <w:rPr>
          <w:rFonts w:hint="eastAsia"/>
          <w:color w:val="auto"/>
        </w:rPr>
      </w:pPr>
      <w:r>
        <w:rPr>
          <w:rFonts w:hint="eastAsia"/>
          <w:color w:val="auto"/>
        </w:rPr>
      </w:r>
      <w:r/>
    </w:p>
    <w:p>
      <w:pPr>
        <w:pStyle w:val="845"/>
        <w:rPr>
          <w:rFonts w:hint="eastAsia"/>
          <w:color w:val="auto"/>
        </w:rPr>
      </w:pPr>
      <w:r>
        <w:rPr>
          <w:rFonts w:hint="eastAsia"/>
          <w:color w:val="auto"/>
        </w:rPr>
      </w:r>
      <w:r/>
    </w:p>
    <w:p>
      <w:pPr>
        <w:pStyle w:val="807"/>
        <w:rPr>
          <w:rFonts w:hint="eastAsia"/>
          <w:color w:val="auto"/>
        </w:rPr>
      </w:pPr>
      <w:r>
        <w:rPr>
          <w:color w:val="auto"/>
        </w:rPr>
        <w:t xml:space="preserve">十</w:t>
      </w:r>
      <w:r>
        <w:rPr>
          <w:rFonts w:hint="eastAsia"/>
          <w:color w:val="auto"/>
        </w:rPr>
        <w:t xml:space="preserve">四</w:t>
      </w:r>
      <w:r>
        <w:rPr>
          <w:color w:val="auto"/>
        </w:rPr>
        <w:t xml:space="preserve">、</w:t>
      </w:r>
      <w:r>
        <w:rPr>
          <w:rFonts w:hint="eastAsia"/>
          <w:color w:val="auto"/>
        </w:rPr>
        <w:t xml:space="preserve">服务</w:t>
      </w:r>
      <w:r>
        <w:rPr>
          <w:color w:val="auto"/>
        </w:rPr>
        <w:t xml:space="preserve">方案</w:t>
      </w:r>
      <w:bookmarkEnd w:id="100"/>
      <w:r/>
      <w:bookmarkEnd w:id="101"/>
      <w:r/>
      <w:bookmarkEnd w:id="102"/>
      <w:r/>
      <w:r/>
    </w:p>
    <w:p>
      <w:pPr>
        <w:pStyle w:val="1141"/>
        <w:jc w:val="center"/>
        <w:spacing w:line="560" w:lineRule="exact"/>
        <w:rPr>
          <w:rFonts w:ascii="宋体"/>
          <w:b/>
          <w:bCs/>
          <w:color w:val="auto"/>
          <w:sz w:val="32"/>
          <w:szCs w:val="32"/>
          <w:highlight w:val="none"/>
        </w:rPr>
      </w:pPr>
      <w:r/>
      <w:bookmarkStart w:id="103" w:name="_Toc2882_WPSOffice_Level2"/>
      <w:r>
        <w:rPr>
          <w:rFonts w:hint="eastAsia" w:ascii="宋体"/>
          <w:b/>
          <w:bCs/>
          <w:color w:val="auto"/>
          <w:sz w:val="32"/>
          <w:szCs w:val="32"/>
          <w:highlight w:val="none"/>
        </w:rPr>
        <w:t xml:space="preserve">按照招标文件要求，格式自拟</w:t>
      </w:r>
      <w:bookmarkEnd w:id="103"/>
      <w:r/>
      <w:r/>
    </w:p>
    <w:p>
      <w:pPr>
        <w:pStyle w:val="807"/>
        <w:rPr>
          <w:rFonts w:hint="eastAsia"/>
          <w:color w:val="auto"/>
          <w:highlight w:val="none"/>
        </w:rPr>
      </w:pPr>
      <w:r>
        <w:rPr>
          <w:color w:val="auto"/>
          <w:highlight w:val="none"/>
        </w:rPr>
        <w:br w:type="page" w:clear="all"/>
      </w:r>
      <w:bookmarkStart w:id="104" w:name="_Toc514054504"/>
      <w:r/>
      <w:bookmarkStart w:id="105" w:name="_Toc30208_WPSOffice_Level2"/>
      <w:r/>
      <w:bookmarkStart w:id="106" w:name="_Toc5519"/>
      <w:r>
        <w:rPr>
          <w:color w:val="auto"/>
        </w:rPr>
        <w:t xml:space="preserve">十</w:t>
      </w:r>
      <w:r>
        <w:rPr>
          <w:rFonts w:hint="eastAsia"/>
          <w:color w:val="auto"/>
        </w:rPr>
        <w:t xml:space="preserve">五</w:t>
      </w:r>
      <w:r>
        <w:rPr>
          <w:color w:val="auto"/>
        </w:rPr>
        <w:t xml:space="preserve">、投标人项目业绩一览表</w:t>
      </w:r>
      <w:bookmarkEnd w:id="104"/>
      <w:r/>
      <w:bookmarkEnd w:id="105"/>
      <w:r/>
      <w:bookmarkEnd w:id="106"/>
      <w:r/>
      <w:r/>
    </w:p>
    <w:p>
      <w:pPr>
        <w:pStyle w:val="1143"/>
        <w:jc w:val="center"/>
        <w:rPr>
          <w:b/>
          <w:color w:val="auto"/>
          <w:sz w:val="32"/>
          <w:szCs w:val="32"/>
          <w:highlight w:val="none"/>
        </w:rPr>
      </w:pPr>
      <w:r/>
      <w:bookmarkStart w:id="107" w:name="_Toc10294_WPSOffice_Level2"/>
      <w:r>
        <w:rPr>
          <w:rFonts w:hint="eastAsia"/>
          <w:b/>
          <w:color w:val="auto"/>
          <w:sz w:val="32"/>
          <w:szCs w:val="32"/>
          <w:highlight w:val="none"/>
        </w:rPr>
        <w:t xml:space="preserve">投标人项目业绩一览表</w:t>
      </w:r>
      <w:bookmarkEnd w:id="107"/>
      <w:r/>
      <w:r/>
    </w:p>
    <w:tbl>
      <w:tblPr>
        <w:tblStyle w:val="81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144"/>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3827" w:type="dxa"/>
            <w:vAlign w:val="center"/>
            <w:textDirection w:val="lrTb"/>
            <w:noWrap w:val="false"/>
          </w:tcPr>
          <w:p>
            <w:pPr>
              <w:pStyle w:val="1144"/>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项目名称</w:t>
            </w:r>
            <w:r/>
          </w:p>
        </w:tc>
        <w:tc>
          <w:tcPr>
            <w:tcW w:w="2433" w:type="dxa"/>
            <w:vAlign w:val="center"/>
            <w:textDirection w:val="lrTb"/>
            <w:noWrap w:val="false"/>
          </w:tcPr>
          <w:p>
            <w:pPr>
              <w:pStyle w:val="1144"/>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采购单位</w:t>
            </w:r>
            <w:r/>
          </w:p>
        </w:tc>
        <w:tc>
          <w:tcPr>
            <w:tcW w:w="1395" w:type="dxa"/>
            <w:vAlign w:val="center"/>
            <w:textDirection w:val="lrTb"/>
            <w:noWrap w:val="false"/>
          </w:tcPr>
          <w:p>
            <w:pPr>
              <w:pStyle w:val="1144"/>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合同金额</w:t>
            </w:r>
            <w:r/>
          </w:p>
        </w:tc>
      </w:tr>
      <w:tr>
        <w:trPr>
          <w:jc w:val="center"/>
          <w:trHeight w:val="1510"/>
        </w:trPr>
        <w:tc>
          <w:tcPr>
            <w:tcW w:w="1229" w:type="dxa"/>
            <w:textDirection w:val="lrTb"/>
            <w:noWrap w:val="false"/>
          </w:tcPr>
          <w:p>
            <w:pPr>
              <w:pStyle w:val="1144"/>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144"/>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144"/>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144"/>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textDirection w:val="lrTb"/>
            <w:noWrap w:val="false"/>
          </w:tcPr>
          <w:p>
            <w:pPr>
              <w:pStyle w:val="1144"/>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144"/>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144"/>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144"/>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textDirection w:val="lrTb"/>
            <w:noWrap w:val="false"/>
          </w:tcPr>
          <w:p>
            <w:pPr>
              <w:pStyle w:val="1144"/>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144"/>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144"/>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144"/>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25"/>
        </w:trPr>
        <w:tc>
          <w:tcPr>
            <w:tcW w:w="1229" w:type="dxa"/>
            <w:textDirection w:val="lrTb"/>
            <w:noWrap w:val="false"/>
          </w:tcPr>
          <w:p>
            <w:pPr>
              <w:pStyle w:val="1144"/>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144"/>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144"/>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144"/>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bl>
    <w:p>
      <w:pPr>
        <w:pStyle w:val="807"/>
        <w:rPr>
          <w:rFonts w:hint="eastAsia"/>
          <w:color w:val="auto"/>
          <w:highlight w:val="none"/>
        </w:rPr>
      </w:pPr>
      <w:r>
        <w:rPr>
          <w:color w:val="auto"/>
          <w:highlight w:val="none"/>
        </w:rPr>
        <w:br w:type="page" w:clear="all"/>
      </w:r>
      <w:bookmarkStart w:id="108" w:name="_Toc514054505"/>
      <w:r/>
      <w:bookmarkStart w:id="109" w:name="_Toc15753"/>
      <w:r/>
      <w:bookmarkStart w:id="110" w:name="_Toc30836_WPSOffice_Level2"/>
      <w:r/>
      <w:bookmarkStart w:id="111" w:name="_Toc502821163"/>
      <w:r>
        <w:rPr>
          <w:color w:val="auto"/>
        </w:rPr>
        <w:t xml:space="preserve">十</w:t>
      </w:r>
      <w:r>
        <w:rPr>
          <w:rFonts w:hint="eastAsia"/>
          <w:color w:val="auto"/>
        </w:rPr>
        <w:t xml:space="preserve">六</w:t>
      </w:r>
      <w:r>
        <w:rPr>
          <w:color w:val="auto"/>
        </w:rPr>
        <w:t xml:space="preserve">、投标所需其他材料</w:t>
      </w:r>
      <w:bookmarkEnd w:id="108"/>
      <w:r/>
      <w:bookmarkEnd w:id="109"/>
      <w:r/>
      <w:bookmarkEnd w:id="110"/>
      <w:r/>
      <w:bookmarkEnd w:id="111"/>
      <w:r/>
      <w:r/>
    </w:p>
    <w:p>
      <w:pPr>
        <w:pStyle w:val="1146"/>
        <w:ind w:firstLine="420"/>
        <w:spacing w:line="360" w:lineRule="auto"/>
        <w:rPr>
          <w:color w:val="auto"/>
          <w:highlight w:val="none"/>
        </w:rPr>
      </w:pPr>
      <w:r>
        <w:rPr>
          <w:rFonts w:hint="eastAsia"/>
          <w:color w:val="auto"/>
          <w:highlight w:val="none"/>
        </w:rPr>
        <w:t xml:space="preserve">请在此文档中增加投标所需其他相关内容（包括资格要求、评分办法、采购需求中涉及的证件证明及其它投标人认为有必要提供的资料），如没有请空置。</w:t>
      </w:r>
      <w:r/>
    </w:p>
    <w:p>
      <w:pPr>
        <w:spacing w:line="460" w:lineRule="exact"/>
        <w:widowControl/>
        <w:rPr>
          <w:rFonts w:hint="eastAsia" w:ascii="宋体" w:hAnsi="宋体" w:cs="宋体"/>
          <w:b/>
          <w:color w:val="auto"/>
          <w:highlight w:val="none"/>
        </w:rPr>
      </w:pPr>
      <w:r>
        <w:rPr>
          <w:rFonts w:hint="eastAsia" w:ascii="宋体" w:hAnsi="宋体" w:cs="宋体"/>
          <w:b/>
          <w:color w:val="auto"/>
          <w:highlight w:val="none"/>
        </w:rPr>
      </w:r>
      <w:r/>
    </w:p>
    <w:p>
      <w:pPr>
        <w:jc w:val="right"/>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b/>
          <w:color w:val="auto"/>
          <w:highlight w:val="none"/>
        </w:rPr>
      </w:pPr>
      <w:r>
        <w:rPr>
          <w:rFonts w:hint="eastAsia" w:ascii="宋体" w:hAnsi="宋体" w:cs="宋体"/>
          <w:b/>
          <w:color w:val="auto"/>
          <w:highlight w:val="none"/>
        </w:rPr>
      </w:r>
      <w:r/>
    </w:p>
    <w:p>
      <w:pPr>
        <w:spacing w:line="360" w:lineRule="auto"/>
        <w:rPr>
          <w:rFonts w:hint="eastAsia" w:ascii="宋体" w:hAnsi="宋体" w:cs="宋体"/>
          <w:b/>
          <w:color w:val="auto"/>
          <w:highlight w:val="none"/>
        </w:rPr>
      </w:pPr>
      <w:r>
        <w:rPr>
          <w:rFonts w:hint="eastAsia" w:ascii="宋体" w:hAnsi="宋体" w:cs="宋体"/>
          <w:b/>
          <w:color w:val="auto"/>
          <w:highlight w:val="none"/>
        </w:rPr>
      </w:r>
      <w:r/>
    </w:p>
    <w:p>
      <w:pPr>
        <w:pStyle w:val="807"/>
        <w:rPr>
          <w:rFonts w:hint="eastAsia" w:ascii="宋体" w:hAnsi="宋体" w:cs="宋体"/>
          <w:b/>
          <w:color w:val="auto"/>
          <w:szCs w:val="24"/>
          <w:highlight w:val="none"/>
        </w:rPr>
      </w:pPr>
      <w:r/>
      <w:bookmarkStart w:id="112" w:name="_Hlk40203486"/>
      <w:r>
        <w:rPr>
          <w:rFonts w:ascii="宋体" w:hAnsi="宋体" w:cs="宋体"/>
          <w:b/>
          <w:color w:val="auto"/>
          <w:highlight w:val="none"/>
        </w:rPr>
        <w:br w:type="page" w:clear="all"/>
      </w:r>
      <w:r>
        <w:rPr>
          <w:rFonts w:hint="eastAsia"/>
          <w:color w:val="auto"/>
        </w:rPr>
        <w:t xml:space="preserve">十七、对</w:t>
      </w:r>
      <w:r>
        <w:rPr>
          <w:rFonts w:hint="eastAsia"/>
          <w:color w:val="auto"/>
          <w:lang w:val="zh-CN"/>
        </w:rPr>
        <w:t xml:space="preserve">第一章投标邀请中《中华人民共和国政府采购法》规定的资格条件</w:t>
      </w:r>
      <w:r>
        <w:rPr>
          <w:rFonts w:hint="eastAsia"/>
          <w:color w:val="auto"/>
        </w:rPr>
        <w:t xml:space="preserve">作出的书面承诺书</w:t>
      </w:r>
      <w:r/>
    </w:p>
    <w:p>
      <w:pPr>
        <w:jc w:val="center"/>
        <w:widowControl/>
        <w:rPr>
          <w:rFonts w:hint="eastAsia" w:ascii="宋体" w:hAnsi="宋体" w:cs="Trebuchet MS"/>
          <w:b/>
          <w:bCs/>
          <w:color w:val="auto"/>
          <w:sz w:val="36"/>
          <w:szCs w:val="36"/>
          <w:highlight w:val="none"/>
          <w:lang w:val="zh-CN"/>
        </w:rPr>
      </w:pPr>
      <w:r>
        <w:rPr>
          <w:rFonts w:hint="eastAsia" w:ascii="宋体" w:hAnsi="宋体" w:cs="Trebuchet MS"/>
          <w:b/>
          <w:bCs/>
          <w:color w:val="auto"/>
          <w:sz w:val="36"/>
          <w:szCs w:val="36"/>
          <w:highlight w:val="none"/>
          <w:lang w:val="zh-CN"/>
        </w:rPr>
        <w:t xml:space="preserve">南京市政府采购供应商信用记录表暨信用承诺书</w:t>
      </w:r>
      <w:r/>
    </w:p>
    <w:p>
      <w:pPr>
        <w:pStyle w:val="1009"/>
        <w:rPr>
          <w:rFonts w:hint="eastAsia" w:ascii="宋体" w:hAnsi="宋体" w:cs="Trebuchet MS"/>
          <w:color w:val="auto"/>
          <w:szCs w:val="21"/>
          <w:highlight w:val="none"/>
        </w:rPr>
      </w:pPr>
      <w:r>
        <w:rPr>
          <w:rFonts w:hint="eastAsia" w:ascii="宋体" w:hAnsi="宋体" w:cs="宋体"/>
          <w:b/>
          <w:color w:val="auto"/>
          <w:szCs w:val="21"/>
          <w:highlight w:val="none"/>
        </w:rPr>
        <w:t xml:space="preserve">  </w:t>
      </w:r>
      <w:r>
        <w:rPr>
          <w:rFonts w:hint="eastAsia" w:ascii="宋体" w:hAnsi="宋体" w:cs="Trebuchet MS"/>
          <w:b/>
          <w:bCs/>
          <w:color w:val="auto"/>
          <w:szCs w:val="30"/>
          <w:highlight w:val="none"/>
        </w:rPr>
        <w:t xml:space="preserve">                                       </w:t>
      </w:r>
      <w:r>
        <w:rPr>
          <w:rFonts w:hint="eastAsia" w:ascii="宋体" w:hAnsi="宋体" w:cs="Trebuchet MS"/>
          <w:b/>
          <w:bCs/>
          <w:color w:val="auto"/>
          <w:szCs w:val="21"/>
          <w:highlight w:val="none"/>
        </w:rPr>
        <w:t xml:space="preserve">   </w:t>
      </w:r>
      <w:r>
        <w:rPr>
          <w:rFonts w:hint="eastAsia" w:ascii="宋体" w:hAnsi="宋体" w:cs="Trebuchet MS"/>
          <w:color w:val="auto"/>
          <w:szCs w:val="21"/>
          <w:highlight w:val="none"/>
        </w:rPr>
        <w:t xml:space="preserve">           20  年  月  日</w:t>
      </w:r>
      <w:r/>
    </w:p>
    <w:tbl>
      <w:tblPr>
        <w:tblStyle w:val="816"/>
        <w:tblW w:w="96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10"/>
        <w:gridCol w:w="2365"/>
        <w:gridCol w:w="2184"/>
        <w:gridCol w:w="2901"/>
      </w:tblGrid>
      <w:tr>
        <w:trPr>
          <w:trHeight w:val="454"/>
        </w:trPr>
        <w:tc>
          <w:tcPr>
            <w:tcW w:w="2210" w:type="dxa"/>
            <w:vAlign w:val="center"/>
            <w:textDirection w:val="lrTb"/>
            <w:noWrap w:val="false"/>
          </w:tcPr>
          <w:p>
            <w:pPr>
              <w:pStyle w:val="1009"/>
              <w:spacing w:line="380" w:lineRule="exact"/>
              <w:rPr>
                <w:rFonts w:hint="eastAsia" w:ascii="宋体" w:hAnsi="宋体"/>
                <w:color w:val="auto"/>
                <w:szCs w:val="21"/>
                <w:highlight w:val="none"/>
              </w:rPr>
            </w:pPr>
            <w:r>
              <w:rPr>
                <w:rFonts w:hint="eastAsia" w:ascii="宋体" w:hAnsi="宋体"/>
                <w:color w:val="auto"/>
                <w:szCs w:val="21"/>
                <w:highlight w:val="none"/>
              </w:rPr>
              <w:t xml:space="preserve">单位名称</w:t>
            </w:r>
            <w:r/>
          </w:p>
        </w:tc>
        <w:tc>
          <w:tcPr>
            <w:tcW w:w="2365" w:type="dxa"/>
            <w:vAlign w:val="center"/>
            <w:textDirection w:val="lrTb"/>
            <w:noWrap w:val="false"/>
          </w:tcPr>
          <w:p>
            <w:pPr>
              <w:pStyle w:val="1009"/>
              <w:spacing w:line="380" w:lineRule="exact"/>
              <w:rPr>
                <w:rFonts w:hint="eastAsia" w:ascii="宋体" w:hAnsi="宋体"/>
                <w:color w:val="auto"/>
                <w:szCs w:val="21"/>
                <w:highlight w:val="none"/>
                <w:lang w:val="zh-CN"/>
              </w:rPr>
            </w:pPr>
            <w:r>
              <w:rPr>
                <w:rFonts w:hint="eastAsia" w:ascii="宋体" w:hAnsi="宋体"/>
                <w:color w:val="auto"/>
                <w:szCs w:val="21"/>
                <w:highlight w:val="none"/>
                <w:lang w:val="zh-CN"/>
              </w:rPr>
            </w:r>
            <w:r/>
          </w:p>
        </w:tc>
        <w:tc>
          <w:tcPr>
            <w:tcW w:w="2184" w:type="dxa"/>
            <w:vAlign w:val="center"/>
            <w:textDirection w:val="lrTb"/>
            <w:noWrap w:val="false"/>
          </w:tcPr>
          <w:p>
            <w:pPr>
              <w:pStyle w:val="1009"/>
              <w:spacing w:line="380" w:lineRule="exact"/>
              <w:rPr>
                <w:rFonts w:hint="eastAsia" w:ascii="宋体" w:hAnsi="宋体"/>
                <w:color w:val="auto"/>
                <w:szCs w:val="21"/>
                <w:highlight w:val="none"/>
              </w:rPr>
            </w:pPr>
            <w:r>
              <w:rPr>
                <w:rFonts w:hint="eastAsia" w:ascii="宋体" w:hAnsi="宋体"/>
                <w:color w:val="auto"/>
                <w:szCs w:val="21"/>
                <w:highlight w:val="none"/>
              </w:rPr>
              <w:t xml:space="preserve">统一社会信用代码</w:t>
            </w:r>
            <w:r/>
          </w:p>
        </w:tc>
        <w:tc>
          <w:tcPr>
            <w:tcW w:w="2901" w:type="dxa"/>
            <w:textDirection w:val="lrTb"/>
            <w:noWrap w:val="false"/>
          </w:tcPr>
          <w:p>
            <w:pPr>
              <w:pStyle w:val="1009"/>
              <w:spacing w:line="380" w:lineRule="exact"/>
              <w:rPr>
                <w:rFonts w:hint="eastAsia" w:ascii="宋体" w:hAnsi="宋体"/>
                <w:color w:val="auto"/>
                <w:szCs w:val="21"/>
                <w:highlight w:val="none"/>
                <w:lang w:val="zh-CN"/>
              </w:rPr>
            </w:pPr>
            <w:r>
              <w:rPr>
                <w:rFonts w:hint="eastAsia" w:ascii="宋体" w:hAnsi="宋体"/>
                <w:color w:val="auto"/>
                <w:szCs w:val="21"/>
                <w:highlight w:val="none"/>
                <w:lang w:val="zh-CN"/>
              </w:rPr>
            </w:r>
            <w:r/>
          </w:p>
        </w:tc>
      </w:tr>
      <w:tr>
        <w:trPr>
          <w:trHeight w:val="454"/>
        </w:trPr>
        <w:tc>
          <w:tcPr>
            <w:tcW w:w="2210" w:type="dxa"/>
            <w:vAlign w:val="center"/>
            <w:textDirection w:val="lrTb"/>
            <w:noWrap w:val="false"/>
          </w:tcPr>
          <w:p>
            <w:pPr>
              <w:pStyle w:val="1009"/>
              <w:spacing w:line="380" w:lineRule="exact"/>
              <w:rPr>
                <w:rFonts w:hint="eastAsia" w:ascii="宋体" w:hAnsi="宋体"/>
                <w:color w:val="auto"/>
                <w:szCs w:val="21"/>
                <w:highlight w:val="none"/>
              </w:rPr>
            </w:pPr>
            <w:r>
              <w:rPr>
                <w:rFonts w:hint="eastAsia" w:ascii="宋体" w:hAnsi="宋体"/>
                <w:color w:val="auto"/>
                <w:szCs w:val="21"/>
                <w:highlight w:val="none"/>
              </w:rPr>
              <w:t xml:space="preserve">法定代表人</w:t>
            </w:r>
            <w:r/>
          </w:p>
        </w:tc>
        <w:tc>
          <w:tcPr>
            <w:tcW w:w="2365" w:type="dxa"/>
            <w:vAlign w:val="center"/>
            <w:textDirection w:val="lrTb"/>
            <w:noWrap w:val="false"/>
          </w:tcPr>
          <w:p>
            <w:pPr>
              <w:pStyle w:val="1009"/>
              <w:spacing w:line="380" w:lineRule="exact"/>
              <w:rPr>
                <w:rFonts w:hint="eastAsia" w:ascii="宋体" w:hAnsi="宋体"/>
                <w:color w:val="auto"/>
                <w:szCs w:val="21"/>
                <w:highlight w:val="none"/>
                <w:lang w:val="zh-CN"/>
              </w:rPr>
            </w:pPr>
            <w:r>
              <w:rPr>
                <w:rFonts w:hint="eastAsia" w:ascii="宋体" w:hAnsi="宋体"/>
                <w:color w:val="auto"/>
                <w:szCs w:val="21"/>
                <w:highlight w:val="none"/>
                <w:lang w:val="zh-CN"/>
              </w:rPr>
            </w:r>
            <w:r/>
          </w:p>
        </w:tc>
        <w:tc>
          <w:tcPr>
            <w:tcW w:w="2184" w:type="dxa"/>
            <w:vAlign w:val="center"/>
            <w:textDirection w:val="lrTb"/>
            <w:noWrap w:val="false"/>
          </w:tcPr>
          <w:p>
            <w:pPr>
              <w:pStyle w:val="1009"/>
              <w:spacing w:line="380" w:lineRule="exact"/>
              <w:rPr>
                <w:rFonts w:hint="eastAsia" w:ascii="宋体" w:hAnsi="宋体"/>
                <w:color w:val="auto"/>
                <w:szCs w:val="21"/>
                <w:highlight w:val="none"/>
              </w:rPr>
            </w:pPr>
            <w:r>
              <w:rPr>
                <w:rFonts w:hint="eastAsia" w:ascii="宋体" w:hAnsi="宋体"/>
                <w:color w:val="auto"/>
                <w:szCs w:val="21"/>
                <w:highlight w:val="none"/>
              </w:rPr>
              <w:t xml:space="preserve">联系人</w:t>
            </w:r>
            <w:r/>
          </w:p>
        </w:tc>
        <w:tc>
          <w:tcPr>
            <w:tcW w:w="2901" w:type="dxa"/>
            <w:textDirection w:val="lrTb"/>
            <w:noWrap w:val="false"/>
          </w:tcPr>
          <w:p>
            <w:pPr>
              <w:pStyle w:val="1009"/>
              <w:spacing w:line="380" w:lineRule="exact"/>
              <w:rPr>
                <w:rFonts w:hint="eastAsia" w:ascii="宋体" w:hAnsi="宋体"/>
                <w:color w:val="auto"/>
                <w:szCs w:val="21"/>
                <w:highlight w:val="none"/>
                <w:lang w:val="zh-CN"/>
              </w:rPr>
            </w:pPr>
            <w:r>
              <w:rPr>
                <w:rFonts w:hint="eastAsia" w:ascii="宋体" w:hAnsi="宋体"/>
                <w:color w:val="auto"/>
                <w:szCs w:val="21"/>
                <w:highlight w:val="none"/>
                <w:lang w:val="zh-CN"/>
              </w:rPr>
            </w:r>
            <w:r/>
          </w:p>
        </w:tc>
      </w:tr>
      <w:tr>
        <w:trPr>
          <w:trHeight w:val="454"/>
        </w:trPr>
        <w:tc>
          <w:tcPr>
            <w:tcW w:w="2210" w:type="dxa"/>
            <w:vAlign w:val="center"/>
            <w:textDirection w:val="lrTb"/>
            <w:noWrap w:val="false"/>
          </w:tcPr>
          <w:p>
            <w:pPr>
              <w:pStyle w:val="1009"/>
              <w:spacing w:line="380" w:lineRule="exact"/>
              <w:rPr>
                <w:rFonts w:hint="eastAsia" w:ascii="宋体" w:hAnsi="宋体"/>
                <w:color w:val="auto"/>
                <w:szCs w:val="21"/>
                <w:highlight w:val="none"/>
              </w:rPr>
            </w:pPr>
            <w:r>
              <w:rPr>
                <w:rFonts w:hint="eastAsia" w:ascii="宋体" w:hAnsi="宋体"/>
                <w:color w:val="auto"/>
                <w:szCs w:val="21"/>
                <w:highlight w:val="none"/>
              </w:rPr>
              <w:t xml:space="preserve">联系地址</w:t>
            </w:r>
            <w:r/>
          </w:p>
        </w:tc>
        <w:tc>
          <w:tcPr>
            <w:tcW w:w="2365" w:type="dxa"/>
            <w:vAlign w:val="center"/>
            <w:textDirection w:val="lrTb"/>
            <w:noWrap w:val="false"/>
          </w:tcPr>
          <w:p>
            <w:pPr>
              <w:pStyle w:val="1009"/>
              <w:spacing w:line="380" w:lineRule="exact"/>
              <w:rPr>
                <w:rFonts w:hint="eastAsia" w:ascii="宋体" w:hAnsi="宋体"/>
                <w:color w:val="auto"/>
                <w:szCs w:val="21"/>
                <w:highlight w:val="none"/>
                <w:lang w:val="zh-CN"/>
              </w:rPr>
            </w:pPr>
            <w:r>
              <w:rPr>
                <w:rFonts w:hint="eastAsia" w:ascii="宋体" w:hAnsi="宋体"/>
                <w:color w:val="auto"/>
                <w:szCs w:val="21"/>
                <w:highlight w:val="none"/>
                <w:lang w:val="zh-CN"/>
              </w:rPr>
            </w:r>
            <w:r/>
          </w:p>
        </w:tc>
        <w:tc>
          <w:tcPr>
            <w:tcW w:w="2184" w:type="dxa"/>
            <w:vAlign w:val="center"/>
            <w:textDirection w:val="lrTb"/>
            <w:noWrap w:val="false"/>
          </w:tcPr>
          <w:p>
            <w:pPr>
              <w:pStyle w:val="1009"/>
              <w:spacing w:line="380" w:lineRule="exact"/>
              <w:rPr>
                <w:rFonts w:hint="eastAsia" w:ascii="宋体" w:hAnsi="宋体"/>
                <w:color w:val="auto"/>
                <w:szCs w:val="21"/>
                <w:highlight w:val="none"/>
              </w:rPr>
            </w:pPr>
            <w:r>
              <w:rPr>
                <w:rFonts w:hint="eastAsia" w:ascii="宋体" w:hAnsi="宋体"/>
                <w:color w:val="auto"/>
                <w:szCs w:val="21"/>
                <w:highlight w:val="none"/>
              </w:rPr>
              <w:t xml:space="preserve">联系电话</w:t>
            </w:r>
            <w:r/>
          </w:p>
        </w:tc>
        <w:tc>
          <w:tcPr>
            <w:tcW w:w="2901" w:type="dxa"/>
            <w:textDirection w:val="lrTb"/>
            <w:noWrap w:val="false"/>
          </w:tcPr>
          <w:p>
            <w:pPr>
              <w:pStyle w:val="1009"/>
              <w:spacing w:line="380" w:lineRule="exact"/>
              <w:rPr>
                <w:rFonts w:hint="eastAsia" w:ascii="宋体" w:hAnsi="宋体"/>
                <w:color w:val="auto"/>
                <w:szCs w:val="21"/>
                <w:highlight w:val="none"/>
                <w:lang w:val="zh-CN"/>
              </w:rPr>
            </w:pPr>
            <w:r>
              <w:rPr>
                <w:rFonts w:hint="eastAsia" w:ascii="宋体" w:hAnsi="宋体"/>
                <w:color w:val="auto"/>
                <w:szCs w:val="21"/>
                <w:highlight w:val="none"/>
                <w:lang w:val="zh-CN"/>
              </w:rPr>
            </w:r>
            <w:r/>
          </w:p>
        </w:tc>
      </w:tr>
      <w:tr>
        <w:trPr>
          <w:trHeight w:val="454"/>
        </w:trPr>
        <w:tc>
          <w:tcPr>
            <w:tcW w:w="2210" w:type="dxa"/>
            <w:vAlign w:val="center"/>
            <w:textDirection w:val="lrTb"/>
            <w:noWrap w:val="false"/>
          </w:tcPr>
          <w:p>
            <w:pPr>
              <w:pStyle w:val="1009"/>
              <w:spacing w:line="380" w:lineRule="exact"/>
              <w:rPr>
                <w:rFonts w:hint="eastAsia" w:ascii="宋体" w:hAnsi="宋体"/>
                <w:color w:val="auto"/>
                <w:szCs w:val="21"/>
                <w:highlight w:val="none"/>
              </w:rPr>
            </w:pPr>
            <w:r>
              <w:rPr>
                <w:rFonts w:hint="eastAsia" w:ascii="宋体" w:hAnsi="宋体"/>
                <w:color w:val="auto"/>
                <w:szCs w:val="21"/>
                <w:highlight w:val="none"/>
              </w:rPr>
              <w:t xml:space="preserve">诚信档案记录情况</w:t>
            </w:r>
            <w:r/>
          </w:p>
        </w:tc>
        <w:tc>
          <w:tcPr>
            <w:gridSpan w:val="3"/>
            <w:tcW w:w="7450" w:type="dxa"/>
            <w:textDirection w:val="lrTb"/>
            <w:noWrap w:val="false"/>
          </w:tcPr>
          <w:p>
            <w:pPr>
              <w:pStyle w:val="1009"/>
              <w:spacing w:line="380" w:lineRule="exact"/>
              <w:rPr>
                <w:rFonts w:hint="eastAsia" w:ascii="宋体" w:hAnsi="宋体"/>
                <w:color w:val="auto"/>
                <w:szCs w:val="21"/>
                <w:highlight w:val="none"/>
                <w:lang w:val="zh-CN"/>
              </w:rPr>
            </w:pPr>
            <w:r>
              <w:rPr>
                <w:rFonts w:hint="eastAsia" w:ascii="宋体" w:hAnsi="宋体"/>
                <w:color w:val="auto"/>
                <w:szCs w:val="21"/>
                <w:highlight w:val="none"/>
                <w:lang w:val="zh-CN"/>
              </w:rPr>
            </w:r>
            <w:r/>
          </w:p>
        </w:tc>
      </w:tr>
      <w:tr>
        <w:trPr>
          <w:trHeight w:val="5505"/>
        </w:trPr>
        <w:tc>
          <w:tcPr>
            <w:tcW w:w="2210" w:type="dxa"/>
            <w:vAlign w:val="center"/>
            <w:textDirection w:val="lrTb"/>
            <w:noWrap w:val="false"/>
          </w:tcPr>
          <w:p>
            <w:pPr>
              <w:pStyle w:val="1009"/>
              <w:spacing w:line="380" w:lineRule="exact"/>
              <w:rPr>
                <w:rFonts w:hint="eastAsia" w:ascii="宋体" w:hAnsi="宋体"/>
                <w:color w:val="auto"/>
                <w:szCs w:val="21"/>
                <w:highlight w:val="none"/>
              </w:rPr>
            </w:pPr>
            <w:r>
              <w:rPr>
                <w:rFonts w:hint="eastAsia" w:ascii="宋体" w:hAnsi="宋体"/>
                <w:color w:val="auto"/>
                <w:szCs w:val="21"/>
                <w:highlight w:val="none"/>
              </w:rPr>
              <w:t xml:space="preserve">信用承诺</w:t>
            </w:r>
            <w:r/>
          </w:p>
        </w:tc>
        <w:tc>
          <w:tcPr>
            <w:gridSpan w:val="3"/>
            <w:tcW w:w="7450" w:type="dxa"/>
            <w:textDirection w:val="lrTb"/>
            <w:noWrap w:val="false"/>
          </w:tcPr>
          <w:p>
            <w:pPr>
              <w:pStyle w:val="1009"/>
              <w:ind w:firstLine="420"/>
              <w:spacing w:line="380" w:lineRule="exact"/>
              <w:rPr>
                <w:rFonts w:hint="eastAsia" w:ascii="宋体" w:hAnsi="宋体" w:cs="Trebuchet MS"/>
                <w:color w:val="auto"/>
                <w:szCs w:val="21"/>
                <w:highlight w:val="none"/>
                <w:lang w:val="zh-CN"/>
              </w:rPr>
            </w:pPr>
            <w:r>
              <w:rPr>
                <w:rFonts w:hint="eastAsia" w:ascii="宋体" w:hAnsi="宋体" w:cs="Trebuchet MS"/>
                <w:color w:val="auto"/>
                <w:szCs w:val="21"/>
                <w:highlight w:val="none"/>
                <w:lang w:val="zh-CN"/>
              </w:rPr>
              <w:t xml:space="preserve">我公司自愿参加贵中心(公司)组织的本次采购活动，严格遵守《中华人民共和国政府采购法》及相关</w:t>
            </w:r>
            <w:r>
              <w:rPr>
                <w:rFonts w:hint="eastAsia" w:ascii="宋体" w:hAnsi="宋体" w:cs="Trebuchet MS"/>
                <w:color w:val="auto"/>
                <w:szCs w:val="21"/>
                <w:highlight w:val="none"/>
                <w:lang w:val="zh-CN"/>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虛作假或其他违法违规行为，愿承担一切法律责任，接受各级政府采购监管部门和有权机关的审查和处罚。</w:t>
            </w:r>
            <w:r/>
          </w:p>
          <w:p>
            <w:pPr>
              <w:pStyle w:val="1009"/>
              <w:spacing w:line="380" w:lineRule="exact"/>
              <w:rPr>
                <w:rFonts w:hint="eastAsia" w:ascii="宋体" w:hAnsi="宋体" w:cs="Trebuchet MS"/>
                <w:color w:val="auto"/>
                <w:szCs w:val="21"/>
                <w:highlight w:val="none"/>
                <w:lang w:val="zh-CN"/>
              </w:rPr>
            </w:pPr>
            <w:r>
              <w:rPr>
                <w:rFonts w:hint="eastAsia" w:ascii="宋体" w:hAnsi="宋体" w:cs="Trebuchet MS"/>
                <w:color w:val="auto"/>
                <w:szCs w:val="21"/>
                <w:highlight w:val="none"/>
                <w:lang w:val="zh-CN"/>
              </w:rPr>
            </w:r>
            <w:r/>
          </w:p>
          <w:p>
            <w:pPr>
              <w:pStyle w:val="1009"/>
              <w:ind w:firstLine="3360"/>
              <w:spacing w:line="380" w:lineRule="exact"/>
              <w:rPr>
                <w:rFonts w:hint="eastAsia" w:ascii="宋体" w:hAnsi="宋体" w:cs="Trebuchet MS"/>
                <w:color w:val="auto"/>
                <w:szCs w:val="21"/>
                <w:highlight w:val="none"/>
                <w:lang w:val="zh-CN"/>
              </w:rPr>
            </w:pPr>
            <w:r>
              <w:rPr>
                <w:rFonts w:hint="eastAsia" w:ascii="宋体" w:hAnsi="宋体" w:cs="Trebuchet MS"/>
                <w:color w:val="auto"/>
                <w:szCs w:val="21"/>
                <w:highlight w:val="none"/>
                <w:lang w:val="zh-CN"/>
              </w:rPr>
              <w:t xml:space="preserve">供应商名称(</w:t>
            </w:r>
            <w:r>
              <w:rPr>
                <w:rFonts w:hint="eastAsia" w:ascii="宋体" w:hAnsi="宋体" w:cs="Trebuchet MS"/>
                <w:color w:val="auto"/>
                <w:szCs w:val="21"/>
                <w:highlight w:val="none"/>
              </w:rPr>
              <w:t xml:space="preserve">加盖电子公章</w:t>
            </w:r>
            <w:r>
              <w:rPr>
                <w:rFonts w:hint="eastAsia" w:ascii="宋体" w:hAnsi="宋体" w:cs="Trebuchet MS"/>
                <w:color w:val="auto"/>
                <w:szCs w:val="21"/>
                <w:highlight w:val="none"/>
                <w:lang w:val="zh-CN"/>
              </w:rPr>
              <w:t xml:space="preserve">):</w:t>
            </w:r>
            <w:r/>
          </w:p>
          <w:p>
            <w:pPr>
              <w:pStyle w:val="1009"/>
              <w:ind w:firstLine="3360"/>
              <w:spacing w:line="380" w:lineRule="exact"/>
              <w:rPr>
                <w:rFonts w:hint="eastAsia" w:ascii="宋体" w:hAnsi="宋体" w:cs="Trebuchet MS"/>
                <w:color w:val="auto"/>
                <w:szCs w:val="21"/>
                <w:highlight w:val="none"/>
                <w:lang w:val="zh-CN"/>
              </w:rPr>
            </w:pPr>
            <w:r>
              <w:rPr>
                <w:rFonts w:hint="eastAsia" w:ascii="宋体" w:hAnsi="宋体" w:cs="Trebuchet MS"/>
                <w:color w:val="auto"/>
                <w:szCs w:val="21"/>
                <w:highlight w:val="none"/>
                <w:lang w:val="zh-CN"/>
              </w:rPr>
              <w:t xml:space="preserve">法定代表人(签字) :</w:t>
            </w:r>
            <w:r/>
          </w:p>
          <w:p>
            <w:pPr>
              <w:pStyle w:val="1009"/>
              <w:ind w:firstLine="3360"/>
              <w:spacing w:line="380" w:lineRule="exact"/>
              <w:rPr>
                <w:rFonts w:hint="eastAsia" w:ascii="宋体" w:hAnsi="宋体" w:cs="Trebuchet MS"/>
                <w:color w:val="auto"/>
                <w:szCs w:val="21"/>
                <w:highlight w:val="none"/>
                <w:lang w:val="zh-CN"/>
              </w:rPr>
            </w:pPr>
            <w:r>
              <w:rPr>
                <w:rFonts w:hint="eastAsia" w:ascii="宋体" w:hAnsi="宋体" w:cs="Trebuchet MS"/>
                <w:color w:val="auto"/>
                <w:szCs w:val="21"/>
                <w:highlight w:val="none"/>
                <w:lang w:val="zh-CN"/>
              </w:rPr>
              <w:t xml:space="preserve">二</w:t>
            </w:r>
            <w:r>
              <w:rPr>
                <w:rFonts w:hint="eastAsia" w:ascii="宋体" w:hAnsi="宋体" w:cs="Trebuchet MS"/>
                <w:color w:val="auto"/>
                <w:szCs w:val="21"/>
                <w:highlight w:val="none"/>
              </w:rPr>
              <w:t xml:space="preserve">〇  </w:t>
            </w:r>
            <w:r>
              <w:rPr>
                <w:rFonts w:hint="eastAsia" w:ascii="宋体" w:hAnsi="宋体" w:cs="Trebuchet MS"/>
                <w:color w:val="auto"/>
                <w:szCs w:val="21"/>
                <w:highlight w:val="none"/>
                <w:lang w:val="zh-CN"/>
              </w:rPr>
              <w:t xml:space="preserve">年</w:t>
            </w:r>
            <w:r>
              <w:rPr>
                <w:rFonts w:hint="eastAsia" w:ascii="宋体" w:hAnsi="宋体" w:cs="Trebuchet MS"/>
                <w:color w:val="auto"/>
                <w:szCs w:val="21"/>
                <w:highlight w:val="none"/>
              </w:rPr>
              <w:t xml:space="preserve">  </w:t>
            </w:r>
            <w:r>
              <w:rPr>
                <w:rFonts w:hint="eastAsia" w:ascii="宋体" w:hAnsi="宋体" w:cs="Trebuchet MS"/>
                <w:color w:val="auto"/>
                <w:szCs w:val="21"/>
                <w:highlight w:val="none"/>
                <w:lang w:val="zh-CN"/>
              </w:rPr>
              <w:t xml:space="preserve">月</w:t>
            </w:r>
            <w:r>
              <w:rPr>
                <w:rFonts w:hint="eastAsia" w:ascii="宋体" w:hAnsi="宋体" w:cs="Trebuchet MS"/>
                <w:color w:val="auto"/>
                <w:szCs w:val="21"/>
                <w:highlight w:val="none"/>
              </w:rPr>
              <w:t xml:space="preserve">  </w:t>
            </w:r>
            <w:r>
              <w:rPr>
                <w:rFonts w:hint="eastAsia" w:ascii="宋体" w:hAnsi="宋体" w:cs="Trebuchet MS"/>
                <w:color w:val="auto"/>
                <w:szCs w:val="21"/>
                <w:highlight w:val="none"/>
                <w:lang w:val="zh-CN"/>
              </w:rPr>
              <w:t xml:space="preserve">日</w:t>
            </w:r>
            <w:r/>
          </w:p>
        </w:tc>
      </w:tr>
    </w:tbl>
    <w:p>
      <w:pPr>
        <w:pStyle w:val="1009"/>
        <w:spacing w:line="460" w:lineRule="exact"/>
        <w:rPr>
          <w:rFonts w:hint="eastAsia" w:ascii="宋体" w:hAnsi="宋体" w:cs="Trebuchet MS"/>
          <w:color w:val="auto"/>
          <w:szCs w:val="21"/>
          <w:highlight w:val="none"/>
        </w:rPr>
      </w:pPr>
      <w:r>
        <w:rPr>
          <w:rFonts w:hint="eastAsia" w:ascii="宋体" w:hAnsi="宋体" w:cs="Trebuchet MS"/>
          <w:b/>
          <w:bCs/>
          <w:color w:val="auto"/>
          <w:szCs w:val="21"/>
          <w:highlight w:val="none"/>
        </w:rPr>
        <w:t xml:space="preserve">说明</w:t>
      </w:r>
      <w:r>
        <w:rPr>
          <w:rFonts w:hint="eastAsia" w:ascii="宋体" w:hAnsi="宋体" w:cs="Trebuchet MS"/>
          <w:color w:val="auto"/>
          <w:szCs w:val="21"/>
          <w:highlight w:val="none"/>
        </w:rPr>
        <w:t xml:space="preserve">：</w:t>
      </w:r>
      <w:r/>
    </w:p>
    <w:p>
      <w:pPr>
        <w:pStyle w:val="1009"/>
        <w:ind w:firstLine="420"/>
        <w:spacing w:line="400" w:lineRule="exact"/>
        <w:rPr>
          <w:rFonts w:hint="eastAsia" w:ascii="宋体" w:hAnsi="宋体" w:cs="Trebuchet MS"/>
          <w:color w:val="auto"/>
          <w:szCs w:val="21"/>
          <w:highlight w:val="none"/>
        </w:rPr>
      </w:pPr>
      <w:r>
        <w:rPr>
          <w:rFonts w:hint="eastAsia" w:ascii="宋体" w:hAnsi="宋体" w:cs="Trebuchet MS"/>
          <w:color w:val="auto"/>
          <w:szCs w:val="21"/>
          <w:highlight w:val="none"/>
        </w:rPr>
        <w:t xml:space="preserve">1、不适用信用承诺的情形</w:t>
      </w:r>
      <w:r/>
    </w:p>
    <w:p>
      <w:pPr>
        <w:pStyle w:val="1009"/>
        <w:ind w:firstLine="420"/>
        <w:spacing w:line="400" w:lineRule="exact"/>
        <w:rPr>
          <w:rFonts w:hint="eastAsia" w:ascii="宋体" w:hAnsi="宋体" w:cs="Trebuchet MS"/>
          <w:color w:val="auto"/>
          <w:szCs w:val="21"/>
          <w:highlight w:val="none"/>
        </w:rPr>
      </w:pPr>
      <w:r>
        <w:rPr>
          <w:rFonts w:hint="eastAsia" w:ascii="宋体" w:hAnsi="宋体" w:cs="Trebuchet MS"/>
          <w:color w:val="auto"/>
          <w:szCs w:val="21"/>
          <w:highlight w:val="none"/>
        </w:rPr>
        <w:t xml:space="preserve">（1）供应商被列入严重失信主体名单；（2）南京市政府采购供应商诚信档案管理系统中诚信档案分在40分以下；（3）被相关监管部门作出行政处罚且尚在处罚有效期内；（4）其他法律、行政法规规定的不适用信用承诺的情形。</w:t>
      </w:r>
      <w:r/>
    </w:p>
    <w:p>
      <w:pPr>
        <w:pStyle w:val="1009"/>
        <w:ind w:firstLine="420"/>
        <w:spacing w:line="400" w:lineRule="exact"/>
        <w:rPr>
          <w:rFonts w:hint="eastAsia" w:ascii="宋体" w:hAnsi="宋体" w:cs="Trebuchet MS"/>
          <w:color w:val="auto"/>
          <w:szCs w:val="21"/>
          <w:highlight w:val="none"/>
        </w:rPr>
      </w:pPr>
      <w:r>
        <w:rPr>
          <w:rFonts w:hint="eastAsia" w:ascii="宋体" w:hAnsi="宋体" w:cs="Trebuchet MS"/>
          <w:color w:val="auto"/>
          <w:szCs w:val="21"/>
          <w:highlight w:val="none"/>
        </w:rPr>
        <w:t xml:space="preserve">2、违反信用承诺的法律责任</w:t>
      </w:r>
      <w:r/>
    </w:p>
    <w:p>
      <w:pPr>
        <w:pStyle w:val="1009"/>
        <w:ind w:firstLine="420"/>
        <w:spacing w:line="400" w:lineRule="exact"/>
        <w:rPr>
          <w:rFonts w:hint="eastAsia" w:ascii="宋体" w:hAnsi="宋体" w:cs="Trebuchet MS"/>
          <w:color w:val="auto"/>
          <w:szCs w:val="21"/>
          <w:highlight w:val="none"/>
        </w:rPr>
      </w:pPr>
      <w:r>
        <w:rPr>
          <w:rFonts w:hint="eastAsia" w:ascii="宋体" w:hAnsi="宋体" w:cs="Trebuchet MS"/>
          <w:color w:val="auto"/>
          <w:szCs w:val="21"/>
          <w:highlight w:val="none"/>
        </w:rPr>
        <w:t xml:space="preserve">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rPr>
          <w:rFonts w:hint="eastAsia"/>
          <w:color w:val="auto"/>
        </w:rPr>
      </w:pPr>
      <w:r>
        <w:rPr>
          <w:rFonts w:hint="eastAsia"/>
          <w:color w:val="auto"/>
        </w:rPr>
      </w:r>
      <w:r/>
    </w:p>
    <w:p>
      <w:pPr>
        <w:rPr>
          <w:rFonts w:hint="eastAsia" w:ascii="宋体" w:hAnsi="宋体" w:cs="宋体"/>
          <w:b/>
          <w:color w:val="auto"/>
          <w:spacing w:val="15"/>
          <w:szCs w:val="21"/>
          <w:highlight w:val="none"/>
        </w:rPr>
      </w:pPr>
      <w:r>
        <w:rPr>
          <w:rFonts w:hint="eastAsia" w:ascii="宋体" w:hAnsi="宋体" w:cs="宋体"/>
          <w:b/>
          <w:color w:val="auto"/>
          <w:spacing w:val="15"/>
          <w:szCs w:val="21"/>
          <w:highlight w:val="none"/>
        </w:rPr>
      </w:r>
      <w:r/>
    </w:p>
    <w:p>
      <w:pPr>
        <w:rPr>
          <w:rFonts w:hint="eastAsia" w:ascii="宋体" w:hAnsi="宋体" w:cs="宋体"/>
          <w:b/>
          <w:color w:val="auto"/>
          <w:spacing w:val="15"/>
          <w:szCs w:val="21"/>
          <w:highlight w:val="none"/>
        </w:rPr>
      </w:pPr>
      <w:r>
        <w:rPr>
          <w:rFonts w:hint="eastAsia" w:ascii="宋体" w:hAnsi="宋体" w:cs="宋体"/>
          <w:b/>
          <w:color w:val="auto"/>
          <w:spacing w:val="15"/>
          <w:szCs w:val="21"/>
          <w:highlight w:val="none"/>
        </w:rPr>
      </w:r>
      <w:r/>
    </w:p>
    <w:p>
      <w:pPr>
        <w:rPr>
          <w:rFonts w:hint="eastAsia" w:ascii="宋体" w:hAnsi="宋体" w:cs="宋体"/>
          <w:b/>
          <w:color w:val="auto"/>
          <w:spacing w:val="15"/>
          <w:szCs w:val="21"/>
          <w:highlight w:val="none"/>
        </w:rPr>
      </w:pPr>
      <w:r>
        <w:rPr>
          <w:rFonts w:hint="eastAsia" w:ascii="宋体" w:hAnsi="宋体" w:cs="宋体"/>
          <w:b/>
          <w:color w:val="auto"/>
          <w:spacing w:val="15"/>
          <w:szCs w:val="21"/>
          <w:highlight w:val="none"/>
        </w:rPr>
      </w:r>
      <w:r/>
    </w:p>
    <w:p>
      <w:pPr>
        <w:rPr>
          <w:rFonts w:hint="eastAsia" w:ascii="宋体" w:hAnsi="宋体" w:cs="宋体"/>
          <w:b/>
          <w:color w:val="auto"/>
          <w:spacing w:val="15"/>
          <w:szCs w:val="21"/>
          <w:highlight w:val="none"/>
        </w:rPr>
      </w:pPr>
      <w:r>
        <w:rPr>
          <w:rFonts w:hint="eastAsia" w:ascii="宋体" w:hAnsi="宋体" w:cs="宋体"/>
          <w:b/>
          <w:color w:val="auto"/>
          <w:spacing w:val="15"/>
          <w:szCs w:val="21"/>
          <w:highlight w:val="none"/>
        </w:rPr>
      </w:r>
      <w:r/>
    </w:p>
    <w:p>
      <w:pPr>
        <w:rPr>
          <w:rFonts w:hint="eastAsia" w:ascii="宋体" w:hAnsi="宋体" w:cs="宋体"/>
          <w:b/>
          <w:color w:val="auto"/>
          <w:spacing w:val="15"/>
          <w:szCs w:val="21"/>
          <w:highlight w:val="none"/>
        </w:rPr>
      </w:pPr>
      <w:r>
        <w:rPr>
          <w:rFonts w:hint="eastAsia" w:ascii="宋体" w:hAnsi="宋体" w:cs="宋体"/>
          <w:b/>
          <w:color w:val="auto"/>
          <w:spacing w:val="15"/>
          <w:szCs w:val="21"/>
          <w:highlight w:val="none"/>
        </w:rPr>
      </w:r>
      <w:r/>
    </w:p>
    <w:p>
      <w:pPr>
        <w:rPr>
          <w:rFonts w:hint="eastAsia" w:ascii="宋体" w:hAnsi="宋体" w:cs="宋体"/>
          <w:b/>
          <w:color w:val="auto"/>
          <w:spacing w:val="15"/>
          <w:szCs w:val="21"/>
          <w:highlight w:val="none"/>
        </w:rPr>
      </w:pPr>
      <w:r>
        <w:rPr>
          <w:rFonts w:hint="eastAsia" w:ascii="宋体" w:hAnsi="宋体" w:cs="宋体"/>
          <w:b/>
          <w:color w:val="auto"/>
          <w:spacing w:val="15"/>
          <w:szCs w:val="21"/>
          <w:highlight w:val="none"/>
        </w:rPr>
      </w:r>
      <w:r/>
    </w:p>
    <w:p>
      <w:pPr>
        <w:rPr>
          <w:rFonts w:hint="eastAsia" w:ascii="宋体" w:hAnsi="宋体" w:cs="宋体"/>
          <w:b/>
          <w:color w:val="auto"/>
          <w:spacing w:val="15"/>
          <w:szCs w:val="21"/>
          <w:highlight w:val="none"/>
        </w:rPr>
      </w:pPr>
      <w:r>
        <w:rPr>
          <w:rFonts w:hint="eastAsia" w:ascii="宋体" w:hAnsi="宋体" w:cs="宋体"/>
          <w:b/>
          <w:color w:val="auto"/>
          <w:spacing w:val="15"/>
          <w:szCs w:val="21"/>
          <w:highlight w:val="none"/>
        </w:rPr>
      </w:r>
      <w:r/>
    </w:p>
    <w:p>
      <w:pPr>
        <w:rPr>
          <w:rFonts w:hint="eastAsia" w:ascii="宋体" w:hAnsi="宋体" w:cs="宋体"/>
          <w:b/>
          <w:color w:val="auto"/>
          <w:spacing w:val="15"/>
          <w:szCs w:val="21"/>
          <w:highlight w:val="none"/>
        </w:rPr>
      </w:pPr>
      <w:r>
        <w:rPr>
          <w:rFonts w:hint="eastAsia" w:ascii="宋体" w:hAnsi="宋体" w:cs="宋体"/>
          <w:b/>
          <w:color w:val="auto"/>
          <w:spacing w:val="15"/>
          <w:szCs w:val="21"/>
          <w:highlight w:val="none"/>
        </w:rPr>
      </w:r>
      <w:r/>
    </w:p>
    <w:p>
      <w:pPr>
        <w:rPr>
          <w:rFonts w:hint="eastAsia" w:ascii="宋体" w:hAnsi="宋体" w:cs="宋体"/>
          <w:b/>
          <w:color w:val="auto"/>
          <w:spacing w:val="15"/>
          <w:szCs w:val="21"/>
          <w:highlight w:val="none"/>
        </w:rPr>
      </w:pPr>
      <w:r>
        <w:rPr>
          <w:rFonts w:hint="eastAsia" w:ascii="宋体" w:hAnsi="宋体" w:cs="宋体"/>
          <w:b/>
          <w:color w:val="auto"/>
          <w:spacing w:val="15"/>
          <w:szCs w:val="21"/>
          <w:highlight w:val="none"/>
        </w:rPr>
      </w:r>
      <w:r/>
    </w:p>
    <w:p>
      <w:pPr>
        <w:rPr>
          <w:rFonts w:hint="eastAsia" w:ascii="宋体" w:hAnsi="宋体" w:cs="宋体"/>
          <w:b/>
          <w:color w:val="auto"/>
          <w:spacing w:val="15"/>
          <w:szCs w:val="21"/>
          <w:highlight w:val="none"/>
        </w:rPr>
      </w:pPr>
      <w:r>
        <w:rPr>
          <w:rFonts w:hint="eastAsia" w:ascii="宋体" w:hAnsi="宋体" w:cs="宋体"/>
          <w:b/>
          <w:color w:val="auto"/>
          <w:spacing w:val="15"/>
          <w:szCs w:val="21"/>
          <w:highlight w:val="none"/>
        </w:rPr>
      </w:r>
      <w:r/>
    </w:p>
    <w:p>
      <w:pPr>
        <w:rPr>
          <w:rFonts w:hint="eastAsia" w:ascii="宋体" w:hAnsi="宋体" w:cs="宋体"/>
          <w:b/>
          <w:color w:val="auto"/>
          <w:spacing w:val="15"/>
          <w:szCs w:val="21"/>
          <w:highlight w:val="none"/>
        </w:rPr>
      </w:pPr>
      <w:r>
        <w:rPr>
          <w:rFonts w:hint="eastAsia" w:ascii="宋体" w:hAnsi="宋体" w:cs="宋体"/>
          <w:b/>
          <w:color w:val="auto"/>
          <w:spacing w:val="15"/>
          <w:szCs w:val="21"/>
          <w:highlight w:val="none"/>
        </w:rPr>
      </w:r>
      <w:r/>
    </w:p>
    <w:p>
      <w:pPr>
        <w:rPr>
          <w:rFonts w:hint="eastAsia" w:ascii="宋体" w:hAnsi="宋体" w:cs="宋体"/>
          <w:b/>
          <w:color w:val="auto"/>
          <w:spacing w:val="15"/>
          <w:szCs w:val="21"/>
          <w:highlight w:val="none"/>
        </w:rPr>
      </w:pPr>
      <w:r>
        <w:rPr>
          <w:rFonts w:hint="eastAsia" w:ascii="宋体" w:hAnsi="宋体" w:cs="宋体"/>
          <w:b/>
          <w:color w:val="auto"/>
          <w:spacing w:val="15"/>
          <w:szCs w:val="21"/>
          <w:highlight w:val="none"/>
        </w:rPr>
      </w:r>
      <w:r/>
    </w:p>
    <w:p>
      <w:pPr>
        <w:rPr>
          <w:rFonts w:hint="eastAsia" w:ascii="宋体" w:hAnsi="宋体" w:cs="宋体"/>
          <w:b/>
          <w:color w:val="auto"/>
          <w:spacing w:val="15"/>
          <w:szCs w:val="21"/>
          <w:highlight w:val="none"/>
        </w:rPr>
      </w:pPr>
      <w:r>
        <w:rPr>
          <w:rFonts w:hint="eastAsia" w:ascii="宋体" w:hAnsi="宋体" w:cs="宋体"/>
          <w:b/>
          <w:color w:val="auto"/>
          <w:spacing w:val="15"/>
          <w:szCs w:val="21"/>
          <w:highlight w:val="none"/>
        </w:rPr>
      </w:r>
      <w:r/>
    </w:p>
    <w:p>
      <w:pPr>
        <w:rPr>
          <w:rFonts w:hint="eastAsia" w:ascii="宋体" w:hAnsi="宋体" w:cs="宋体"/>
          <w:b/>
          <w:color w:val="auto"/>
          <w:spacing w:val="15"/>
          <w:szCs w:val="21"/>
          <w:highlight w:val="none"/>
        </w:rPr>
      </w:pPr>
      <w:r>
        <w:rPr>
          <w:rFonts w:hint="eastAsia" w:ascii="宋体" w:hAnsi="宋体" w:cs="宋体"/>
          <w:b/>
          <w:color w:val="auto"/>
          <w:spacing w:val="15"/>
          <w:szCs w:val="21"/>
          <w:highlight w:val="none"/>
        </w:rPr>
      </w:r>
      <w:r/>
    </w:p>
    <w:p>
      <w:pPr>
        <w:rPr>
          <w:rFonts w:hint="eastAsia" w:ascii="宋体" w:hAnsi="宋体" w:cs="宋体"/>
          <w:b/>
          <w:color w:val="auto"/>
          <w:spacing w:val="15"/>
          <w:szCs w:val="21"/>
          <w:highlight w:val="none"/>
        </w:rPr>
      </w:pPr>
      <w:r>
        <w:rPr>
          <w:rFonts w:hint="eastAsia" w:ascii="宋体" w:hAnsi="宋体" w:cs="宋体"/>
          <w:b/>
          <w:color w:val="auto"/>
          <w:spacing w:val="15"/>
          <w:szCs w:val="21"/>
          <w:highlight w:val="none"/>
        </w:rPr>
      </w:r>
      <w:r/>
    </w:p>
    <w:p>
      <w:pPr>
        <w:rPr>
          <w:rFonts w:hint="eastAsia" w:ascii="宋体" w:hAnsi="宋体" w:cs="宋体"/>
          <w:b/>
          <w:color w:val="auto"/>
          <w:spacing w:val="15"/>
          <w:szCs w:val="21"/>
          <w:highlight w:val="none"/>
        </w:rPr>
      </w:pPr>
      <w:r>
        <w:rPr>
          <w:rFonts w:hint="eastAsia" w:ascii="宋体" w:hAnsi="宋体" w:cs="宋体"/>
          <w:b/>
          <w:color w:val="auto"/>
          <w:spacing w:val="15"/>
          <w:szCs w:val="21"/>
          <w:highlight w:val="none"/>
        </w:rPr>
      </w:r>
      <w:r/>
    </w:p>
    <w:p>
      <w:pPr>
        <w:rPr>
          <w:rFonts w:hint="eastAsia" w:ascii="宋体" w:hAnsi="宋体" w:cs="宋体"/>
          <w:b/>
          <w:color w:val="auto"/>
          <w:spacing w:val="15"/>
          <w:szCs w:val="21"/>
          <w:highlight w:val="none"/>
        </w:rPr>
      </w:pPr>
      <w:r>
        <w:rPr>
          <w:rFonts w:hint="eastAsia" w:ascii="宋体" w:hAnsi="宋体" w:cs="宋体"/>
          <w:b/>
          <w:color w:val="auto"/>
          <w:spacing w:val="15"/>
          <w:szCs w:val="21"/>
          <w:highlight w:val="none"/>
        </w:rPr>
      </w:r>
      <w:r/>
    </w:p>
    <w:p>
      <w:pPr>
        <w:rPr>
          <w:rFonts w:hint="eastAsia" w:ascii="宋体" w:hAnsi="宋体" w:cs="宋体"/>
          <w:b/>
          <w:color w:val="auto"/>
          <w:spacing w:val="15"/>
          <w:szCs w:val="21"/>
          <w:highlight w:val="none"/>
        </w:rPr>
      </w:pPr>
      <w:r>
        <w:rPr>
          <w:rFonts w:hint="eastAsia" w:ascii="宋体" w:hAnsi="宋体" w:cs="宋体"/>
          <w:b/>
          <w:color w:val="auto"/>
          <w:spacing w:val="15"/>
          <w:szCs w:val="21"/>
          <w:highlight w:val="none"/>
        </w:rPr>
      </w:r>
      <w:r/>
    </w:p>
    <w:p>
      <w:pPr>
        <w:rPr>
          <w:rFonts w:hint="eastAsia" w:ascii="宋体" w:hAnsi="宋体" w:cs="宋体"/>
          <w:b/>
          <w:color w:val="auto"/>
          <w:spacing w:val="15"/>
          <w:szCs w:val="21"/>
          <w:highlight w:val="none"/>
        </w:rPr>
      </w:pPr>
      <w:r>
        <w:rPr>
          <w:rFonts w:hint="eastAsia" w:ascii="宋体" w:hAnsi="宋体" w:cs="宋体"/>
          <w:b/>
          <w:color w:val="auto"/>
          <w:spacing w:val="15"/>
          <w:szCs w:val="21"/>
          <w:highlight w:val="none"/>
        </w:rPr>
      </w:r>
      <w:r/>
    </w:p>
    <w:p>
      <w:pPr>
        <w:rPr>
          <w:rFonts w:hint="eastAsia" w:ascii="宋体" w:hAnsi="宋体" w:cs="宋体"/>
          <w:b/>
          <w:color w:val="auto"/>
          <w:spacing w:val="15"/>
          <w:szCs w:val="21"/>
          <w:highlight w:val="none"/>
        </w:rPr>
      </w:pPr>
      <w:r>
        <w:rPr>
          <w:rFonts w:hint="eastAsia" w:ascii="宋体" w:hAnsi="宋体" w:cs="宋体"/>
          <w:b/>
          <w:color w:val="auto"/>
          <w:spacing w:val="15"/>
          <w:szCs w:val="21"/>
          <w:highlight w:val="none"/>
        </w:rPr>
      </w:r>
      <w:r/>
    </w:p>
    <w:p>
      <w:pPr>
        <w:rPr>
          <w:rFonts w:hint="eastAsia" w:ascii="宋体" w:hAnsi="宋体" w:cs="宋体"/>
          <w:b/>
          <w:color w:val="auto"/>
          <w:spacing w:val="15"/>
          <w:szCs w:val="21"/>
          <w:highlight w:val="none"/>
        </w:rPr>
      </w:pPr>
      <w:r>
        <w:rPr>
          <w:rFonts w:hint="eastAsia" w:ascii="宋体" w:hAnsi="宋体" w:cs="宋体"/>
          <w:b/>
          <w:color w:val="auto"/>
          <w:spacing w:val="15"/>
          <w:szCs w:val="21"/>
          <w:highlight w:val="none"/>
        </w:rPr>
      </w:r>
      <w:r/>
    </w:p>
    <w:p>
      <w:pPr>
        <w:rPr>
          <w:rFonts w:hint="eastAsia" w:ascii="宋体" w:hAnsi="宋体" w:cs="宋体"/>
          <w:b/>
          <w:color w:val="auto"/>
          <w:spacing w:val="15"/>
          <w:szCs w:val="21"/>
          <w:highlight w:val="none"/>
        </w:rPr>
      </w:pPr>
      <w:r>
        <w:rPr>
          <w:rFonts w:hint="eastAsia" w:ascii="宋体" w:hAnsi="宋体" w:cs="宋体"/>
          <w:b/>
          <w:color w:val="auto"/>
          <w:spacing w:val="15"/>
          <w:szCs w:val="21"/>
          <w:highlight w:val="none"/>
        </w:rPr>
      </w:r>
      <w:r/>
    </w:p>
    <w:p>
      <w:pPr>
        <w:rPr>
          <w:rFonts w:hint="eastAsia" w:ascii="宋体" w:hAnsi="宋体" w:cs="宋体"/>
          <w:b/>
          <w:color w:val="auto"/>
          <w:spacing w:val="15"/>
          <w:szCs w:val="21"/>
          <w:highlight w:val="none"/>
        </w:rPr>
      </w:pPr>
      <w:r>
        <w:rPr>
          <w:rFonts w:hint="eastAsia" w:ascii="宋体" w:hAnsi="宋体" w:cs="宋体"/>
          <w:b/>
          <w:color w:val="auto"/>
          <w:spacing w:val="15"/>
          <w:szCs w:val="21"/>
          <w:highlight w:val="none"/>
        </w:rPr>
      </w:r>
      <w:r/>
    </w:p>
    <w:p>
      <w:pPr>
        <w:rPr>
          <w:rFonts w:hint="eastAsia" w:ascii="宋体" w:hAnsi="宋体" w:cs="宋体"/>
          <w:b/>
          <w:color w:val="auto"/>
          <w:spacing w:val="15"/>
          <w:szCs w:val="21"/>
          <w:highlight w:val="none"/>
        </w:rPr>
      </w:pPr>
      <w:r>
        <w:rPr>
          <w:rFonts w:hint="eastAsia" w:ascii="宋体" w:hAnsi="宋体" w:cs="宋体"/>
          <w:b/>
          <w:color w:val="auto"/>
          <w:spacing w:val="15"/>
          <w:szCs w:val="21"/>
          <w:highlight w:val="none"/>
        </w:rPr>
      </w:r>
      <w:r/>
    </w:p>
    <w:p>
      <w:pPr>
        <w:rPr>
          <w:rFonts w:hint="eastAsia" w:ascii="宋体" w:hAnsi="宋体" w:cs="宋体"/>
          <w:b/>
          <w:color w:val="auto"/>
          <w:spacing w:val="15"/>
          <w:szCs w:val="21"/>
          <w:highlight w:val="none"/>
        </w:rPr>
      </w:pPr>
      <w:r>
        <w:rPr>
          <w:rFonts w:hint="eastAsia" w:ascii="宋体" w:hAnsi="宋体" w:cs="宋体"/>
          <w:b/>
          <w:color w:val="auto"/>
          <w:spacing w:val="15"/>
          <w:szCs w:val="21"/>
          <w:highlight w:val="none"/>
        </w:rPr>
      </w:r>
      <w:r/>
    </w:p>
    <w:p>
      <w:pPr>
        <w:rPr>
          <w:rFonts w:hint="eastAsia" w:ascii="宋体" w:hAnsi="宋体" w:cs="宋体"/>
          <w:b/>
          <w:color w:val="auto"/>
          <w:spacing w:val="15"/>
          <w:szCs w:val="21"/>
          <w:highlight w:val="none"/>
        </w:rPr>
      </w:pPr>
      <w:r>
        <w:rPr>
          <w:rFonts w:hint="eastAsia" w:ascii="宋体" w:hAnsi="宋体" w:cs="宋体"/>
          <w:b/>
          <w:color w:val="auto"/>
          <w:spacing w:val="15"/>
          <w:szCs w:val="21"/>
          <w:highlight w:val="none"/>
        </w:rPr>
      </w:r>
      <w:r/>
    </w:p>
    <w:p>
      <w:pPr>
        <w:rPr>
          <w:rFonts w:hint="eastAsia" w:ascii="宋体" w:hAnsi="宋体" w:cs="宋体"/>
          <w:b/>
          <w:color w:val="auto"/>
          <w:spacing w:val="15"/>
          <w:szCs w:val="21"/>
          <w:highlight w:val="none"/>
        </w:rPr>
      </w:pPr>
      <w:r>
        <w:rPr>
          <w:rFonts w:hint="eastAsia" w:ascii="宋体" w:hAnsi="宋体" w:cs="宋体"/>
          <w:b/>
          <w:color w:val="auto"/>
          <w:spacing w:val="15"/>
          <w:szCs w:val="21"/>
          <w:highlight w:val="none"/>
        </w:rPr>
      </w:r>
      <w:r/>
    </w:p>
    <w:p>
      <w:pPr>
        <w:rPr>
          <w:rFonts w:hint="eastAsia" w:ascii="宋体" w:hAnsi="宋体" w:cs="宋体"/>
          <w:b/>
          <w:color w:val="auto"/>
          <w:spacing w:val="15"/>
          <w:szCs w:val="21"/>
          <w:highlight w:val="none"/>
        </w:rPr>
      </w:pPr>
      <w:r>
        <w:rPr>
          <w:rFonts w:hint="eastAsia" w:ascii="宋体" w:hAnsi="宋体" w:cs="宋体"/>
          <w:b/>
          <w:color w:val="auto"/>
          <w:spacing w:val="15"/>
          <w:szCs w:val="21"/>
          <w:highlight w:val="none"/>
        </w:rPr>
      </w:r>
      <w:r/>
    </w:p>
    <w:p>
      <w:pPr>
        <w:rPr>
          <w:rFonts w:hint="eastAsia" w:ascii="宋体" w:hAnsi="宋体" w:cs="宋体"/>
          <w:b/>
          <w:color w:val="auto"/>
          <w:spacing w:val="15"/>
          <w:szCs w:val="21"/>
          <w:highlight w:val="none"/>
        </w:rPr>
      </w:pPr>
      <w:r>
        <w:rPr>
          <w:rFonts w:hint="eastAsia" w:ascii="宋体" w:hAnsi="宋体" w:cs="宋体"/>
          <w:b/>
          <w:color w:val="auto"/>
          <w:spacing w:val="15"/>
          <w:szCs w:val="21"/>
          <w:highlight w:val="none"/>
        </w:rPr>
      </w:r>
      <w:r/>
    </w:p>
    <w:p>
      <w:pPr>
        <w:rPr>
          <w:rFonts w:hint="eastAsia" w:ascii="宋体" w:hAnsi="宋体" w:cs="宋体"/>
          <w:b/>
          <w:color w:val="auto"/>
          <w:spacing w:val="15"/>
          <w:szCs w:val="21"/>
          <w:highlight w:val="none"/>
        </w:rPr>
      </w:pPr>
      <w:r>
        <w:rPr>
          <w:rFonts w:hint="eastAsia" w:ascii="宋体" w:hAnsi="宋体" w:cs="宋体"/>
          <w:b/>
          <w:color w:val="auto"/>
          <w:spacing w:val="15"/>
          <w:szCs w:val="21"/>
          <w:highlight w:val="none"/>
        </w:rPr>
      </w:r>
      <w:r/>
    </w:p>
    <w:p>
      <w:pPr>
        <w:rPr>
          <w:rFonts w:hint="eastAsia" w:ascii="宋体" w:hAnsi="宋体" w:cs="宋体"/>
          <w:b/>
          <w:color w:val="auto"/>
          <w:spacing w:val="15"/>
          <w:szCs w:val="21"/>
          <w:highlight w:val="none"/>
        </w:rPr>
      </w:pPr>
      <w:r>
        <w:rPr>
          <w:rFonts w:hint="eastAsia" w:ascii="宋体" w:hAnsi="宋体" w:cs="宋体"/>
          <w:b/>
          <w:color w:val="auto"/>
          <w:spacing w:val="15"/>
          <w:szCs w:val="21"/>
          <w:highlight w:val="none"/>
        </w:rPr>
      </w:r>
      <w:r/>
    </w:p>
    <w:p>
      <w:pPr>
        <w:rPr>
          <w:rFonts w:hint="eastAsia" w:ascii="宋体" w:hAnsi="宋体" w:cs="宋体"/>
          <w:b/>
          <w:color w:val="auto"/>
          <w:spacing w:val="15"/>
          <w:szCs w:val="21"/>
          <w:highlight w:val="none"/>
        </w:rPr>
      </w:pPr>
      <w:r>
        <w:rPr>
          <w:rFonts w:hint="eastAsia" w:ascii="宋体" w:hAnsi="宋体" w:cs="宋体"/>
          <w:b/>
          <w:color w:val="auto"/>
          <w:spacing w:val="15"/>
          <w:szCs w:val="21"/>
          <w:highlight w:val="none"/>
        </w:rPr>
      </w:r>
      <w:r/>
    </w:p>
    <w:p>
      <w:pPr>
        <w:rPr>
          <w:rFonts w:hint="eastAsia" w:ascii="宋体" w:hAnsi="宋体" w:cs="宋体"/>
          <w:b/>
          <w:color w:val="auto"/>
          <w:spacing w:val="15"/>
          <w:szCs w:val="21"/>
          <w:highlight w:val="none"/>
        </w:rPr>
      </w:pPr>
      <w:r>
        <w:rPr>
          <w:rFonts w:hint="eastAsia" w:ascii="宋体" w:hAnsi="宋体" w:cs="宋体"/>
          <w:b/>
          <w:color w:val="auto"/>
          <w:spacing w:val="15"/>
          <w:szCs w:val="21"/>
          <w:highlight w:val="none"/>
        </w:rPr>
      </w:r>
      <w:r/>
    </w:p>
    <w:p>
      <w:pPr>
        <w:rPr>
          <w:rFonts w:hint="eastAsia" w:ascii="宋体" w:hAnsi="宋体" w:cs="宋体"/>
          <w:b/>
          <w:color w:val="auto"/>
          <w:spacing w:val="15"/>
          <w:szCs w:val="21"/>
          <w:highlight w:val="none"/>
        </w:rPr>
      </w:pPr>
      <w:r>
        <w:rPr>
          <w:rFonts w:hint="eastAsia" w:ascii="宋体" w:hAnsi="宋体" w:cs="宋体"/>
          <w:b/>
          <w:color w:val="auto"/>
          <w:spacing w:val="15"/>
          <w:szCs w:val="21"/>
          <w:highlight w:val="none"/>
        </w:rPr>
      </w:r>
      <w:r/>
    </w:p>
    <w:p>
      <w:pPr>
        <w:rPr>
          <w:rFonts w:hint="eastAsia" w:ascii="宋体" w:hAnsi="宋体" w:cs="宋体"/>
          <w:b/>
          <w:color w:val="auto"/>
          <w:spacing w:val="15"/>
          <w:szCs w:val="21"/>
          <w:highlight w:val="none"/>
        </w:rPr>
      </w:pPr>
      <w:r>
        <w:rPr>
          <w:rFonts w:hint="eastAsia" w:ascii="宋体" w:hAnsi="宋体" w:cs="宋体"/>
          <w:b/>
          <w:color w:val="auto"/>
          <w:spacing w:val="15"/>
          <w:szCs w:val="21"/>
          <w:highlight w:val="none"/>
        </w:rPr>
      </w:r>
      <w:r/>
    </w:p>
    <w:p>
      <w:pPr>
        <w:rPr>
          <w:rFonts w:hint="eastAsia" w:ascii="宋体" w:hAnsi="宋体" w:cs="宋体"/>
          <w:b/>
          <w:color w:val="auto"/>
          <w:spacing w:val="15"/>
          <w:szCs w:val="21"/>
          <w:highlight w:val="none"/>
        </w:rPr>
      </w:pPr>
      <w:r>
        <w:rPr>
          <w:rFonts w:hint="eastAsia" w:ascii="宋体" w:hAnsi="宋体" w:cs="宋体"/>
          <w:b/>
          <w:color w:val="auto"/>
          <w:spacing w:val="15"/>
          <w:szCs w:val="21"/>
          <w:highlight w:val="none"/>
        </w:rPr>
      </w:r>
      <w:r/>
    </w:p>
    <w:p>
      <w:pPr>
        <w:rPr>
          <w:rFonts w:hint="eastAsia" w:ascii="宋体" w:hAnsi="宋体" w:cs="宋体"/>
          <w:b/>
          <w:color w:val="auto"/>
          <w:spacing w:val="15"/>
          <w:szCs w:val="21"/>
          <w:highlight w:val="none"/>
        </w:rPr>
      </w:pPr>
      <w:r>
        <w:rPr>
          <w:rFonts w:hint="eastAsia" w:ascii="宋体" w:hAnsi="宋体" w:cs="宋体"/>
          <w:b/>
          <w:color w:val="auto"/>
          <w:spacing w:val="15"/>
          <w:szCs w:val="21"/>
          <w:highlight w:val="none"/>
        </w:rPr>
      </w:r>
      <w:r/>
    </w:p>
    <w:p>
      <w:pPr>
        <w:jc w:val="left"/>
        <w:rPr>
          <w:rFonts w:hint="eastAsia" w:ascii="宋体" w:hAnsi="宋体" w:cs="宋体"/>
          <w:b/>
          <w:color w:val="auto"/>
          <w:spacing w:val="15"/>
          <w:szCs w:val="21"/>
          <w:highlight w:val="none"/>
        </w:rPr>
      </w:pPr>
      <w:r>
        <w:rPr>
          <w:rFonts w:hint="eastAsia" w:ascii="宋体" w:hAnsi="宋体" w:cs="宋体"/>
          <w:b/>
          <w:color w:val="auto"/>
          <w:spacing w:val="15"/>
          <w:szCs w:val="21"/>
          <w:highlight w:val="none"/>
        </w:rPr>
      </w:r>
      <w:r/>
    </w:p>
    <w:p>
      <w:pPr>
        <w:jc w:val="left"/>
        <w:rPr>
          <w:rFonts w:hint="eastAsia" w:ascii="宋体" w:hAnsi="宋体" w:cs="宋体"/>
          <w:b/>
          <w:color w:val="auto"/>
          <w:spacing w:val="15"/>
          <w:szCs w:val="21"/>
          <w:highlight w:val="none"/>
        </w:rPr>
      </w:pPr>
      <w:r>
        <w:rPr>
          <w:rFonts w:hint="eastAsia" w:ascii="宋体" w:hAnsi="宋体" w:cs="宋体"/>
          <w:b/>
          <w:color w:val="auto"/>
          <w:spacing w:val="15"/>
          <w:szCs w:val="21"/>
          <w:highlight w:val="none"/>
        </w:rPr>
      </w:r>
      <w:r/>
    </w:p>
    <w:p>
      <w:pPr>
        <w:jc w:val="left"/>
        <w:rPr>
          <w:rFonts w:hint="eastAsia" w:ascii="宋体" w:hAnsi="宋体" w:cs="宋体"/>
          <w:b/>
          <w:color w:val="auto"/>
          <w:spacing w:val="15"/>
          <w:szCs w:val="21"/>
          <w:highlight w:val="none"/>
        </w:rPr>
      </w:pPr>
      <w:r>
        <w:rPr>
          <w:rFonts w:hint="eastAsia" w:ascii="宋体" w:hAnsi="宋体" w:cs="宋体"/>
          <w:b/>
          <w:color w:val="auto"/>
          <w:spacing w:val="15"/>
          <w:szCs w:val="21"/>
          <w:highlight w:val="none"/>
        </w:rPr>
      </w:r>
      <w:r/>
    </w:p>
    <w:p>
      <w:pPr>
        <w:jc w:val="left"/>
        <w:rPr>
          <w:rFonts w:hint="eastAsia" w:ascii="宋体" w:hAnsi="宋体" w:cs="宋体"/>
          <w:b/>
          <w:color w:val="auto"/>
          <w:spacing w:val="15"/>
          <w:szCs w:val="21"/>
          <w:highlight w:val="none"/>
        </w:rPr>
      </w:pPr>
      <w:r>
        <w:rPr>
          <w:rFonts w:hint="eastAsia" w:ascii="宋体" w:hAnsi="宋体" w:cs="宋体"/>
          <w:b/>
          <w:color w:val="auto"/>
          <w:spacing w:val="15"/>
          <w:szCs w:val="21"/>
          <w:highlight w:val="none"/>
        </w:rPr>
      </w:r>
      <w:r/>
    </w:p>
    <w:p>
      <w:pPr>
        <w:jc w:val="left"/>
        <w:rPr>
          <w:rFonts w:hint="eastAsia" w:ascii="宋体" w:hAnsi="宋体" w:cs="宋体"/>
          <w:b/>
          <w:color w:val="auto"/>
          <w:spacing w:val="15"/>
          <w:szCs w:val="21"/>
          <w:highlight w:val="none"/>
        </w:rPr>
      </w:pPr>
      <w:r>
        <w:rPr>
          <w:rFonts w:hint="eastAsia" w:ascii="宋体" w:hAnsi="宋体" w:cs="宋体"/>
          <w:b/>
          <w:color w:val="auto"/>
          <w:spacing w:val="15"/>
          <w:szCs w:val="21"/>
          <w:highlight w:val="none"/>
        </w:rPr>
      </w:r>
      <w:r/>
    </w:p>
    <w:p>
      <w:pPr>
        <w:jc w:val="left"/>
        <w:rPr>
          <w:rFonts w:hint="eastAsia" w:ascii="宋体" w:hAnsi="宋体" w:cs="宋体"/>
          <w:b/>
          <w:color w:val="auto"/>
          <w:spacing w:val="15"/>
          <w:szCs w:val="21"/>
          <w:highlight w:val="none"/>
        </w:rPr>
      </w:pPr>
      <w:r>
        <w:rPr>
          <w:rFonts w:hint="eastAsia" w:ascii="宋体" w:hAnsi="宋体" w:cs="宋体"/>
          <w:b/>
          <w:color w:val="auto"/>
          <w:spacing w:val="15"/>
          <w:szCs w:val="21"/>
          <w:highlight w:val="none"/>
        </w:rPr>
      </w:r>
      <w:r/>
    </w:p>
    <w:p>
      <w:pPr>
        <w:jc w:val="left"/>
        <w:rPr>
          <w:rFonts w:hint="eastAsia" w:ascii="宋体" w:hAnsi="宋体" w:cs="宋体"/>
          <w:b/>
          <w:color w:val="auto"/>
          <w:spacing w:val="15"/>
          <w:szCs w:val="21"/>
          <w:highlight w:val="none"/>
        </w:rPr>
      </w:pPr>
      <w:r>
        <w:rPr>
          <w:rFonts w:hint="eastAsia" w:ascii="宋体" w:hAnsi="宋体" w:cs="宋体"/>
          <w:b/>
          <w:color w:val="auto"/>
          <w:spacing w:val="15"/>
          <w:szCs w:val="21"/>
          <w:highlight w:val="none"/>
        </w:rPr>
      </w:r>
      <w:r/>
    </w:p>
    <w:p>
      <w:pPr>
        <w:pStyle w:val="806"/>
        <w:rPr>
          <w:rFonts w:hint="eastAsia"/>
          <w:color w:val="auto"/>
        </w:rPr>
      </w:pPr>
      <w:r>
        <w:rPr>
          <w:rFonts w:hint="eastAsia" w:ascii="宋体" w:hAnsi="宋体" w:cs="宋体"/>
          <w:b/>
          <w:color w:val="auto"/>
          <w:spacing w:val="15"/>
          <w:szCs w:val="21"/>
          <w:highlight w:val="none"/>
          <w:lang w:val="en-US" w:eastAsia="zh-CN"/>
        </w:rPr>
        <w:t xml:space="preserve"> </w:t>
      </w:r>
      <w:bookmarkStart w:id="113" w:name="_Toc12926"/>
      <w:r/>
      <w:bookmarkStart w:id="114" w:name="_Toc1855"/>
      <w:r>
        <w:rPr>
          <w:rFonts w:hint="eastAsia"/>
          <w:color w:val="auto"/>
          <w:lang w:val="en-US" w:eastAsia="zh-CN"/>
        </w:rPr>
        <w:t xml:space="preserve">第七章 采购清单</w:t>
      </w:r>
      <w:bookmarkEnd w:id="113"/>
      <w:r/>
      <w:bookmarkEnd w:id="114"/>
      <w:r/>
      <w:r/>
    </w:p>
    <w:p>
      <w:pPr>
        <w:numPr>
          <w:ilvl w:val="0"/>
          <w:numId w:val="0"/>
        </w:numPr>
        <w:jc w:val="left"/>
        <w:spacing w:line="360" w:lineRule="auto"/>
        <w:rPr>
          <w:rFonts w:hint="eastAsia"/>
          <w:color w:val="auto"/>
          <w:sz w:val="28"/>
          <w:szCs w:val="28"/>
          <w:lang w:val="en-US" w:eastAsia="zh-CN"/>
        </w:rPr>
      </w:pPr>
      <w:r>
        <w:rPr>
          <w:rFonts w:hint="eastAsia"/>
          <w:color w:val="auto"/>
          <w:sz w:val="28"/>
          <w:szCs w:val="28"/>
          <w:lang w:val="en-US" w:eastAsia="zh-CN"/>
        </w:rPr>
        <w:t xml:space="preserve">（一）采购清单总体说明</w:t>
      </w:r>
      <w:r/>
    </w:p>
    <w:p>
      <w:pPr>
        <w:numPr>
          <w:ilvl w:val="0"/>
          <w:numId w:val="0"/>
        </w:numPr>
        <w:jc w:val="left"/>
        <w:spacing w:line="360" w:lineRule="auto"/>
        <w:rPr>
          <w:rFonts w:hint="eastAsia"/>
          <w:color w:val="auto"/>
          <w:sz w:val="28"/>
          <w:szCs w:val="28"/>
          <w:lang w:val="en-US" w:eastAsia="zh-CN"/>
        </w:rPr>
      </w:pPr>
      <w:r>
        <w:rPr>
          <w:rFonts w:hint="eastAsia"/>
          <w:color w:val="auto"/>
          <w:sz w:val="28"/>
          <w:szCs w:val="28"/>
          <w:lang w:val="en-US" w:eastAsia="zh-CN"/>
        </w:rPr>
        <w:t xml:space="preserve">（二）★采购清单汇总表</w:t>
      </w:r>
      <w:r/>
    </w:p>
    <w:p>
      <w:pPr>
        <w:numPr>
          <w:ilvl w:val="0"/>
          <w:numId w:val="0"/>
        </w:numPr>
        <w:jc w:val="left"/>
        <w:spacing w:line="360" w:lineRule="auto"/>
        <w:rPr>
          <w:rFonts w:hint="eastAsia"/>
          <w:color w:val="auto"/>
          <w:sz w:val="28"/>
          <w:szCs w:val="28"/>
          <w:lang w:val="en-US" w:eastAsia="zh-CN"/>
        </w:rPr>
      </w:pPr>
      <w:r>
        <w:rPr>
          <w:rFonts w:hint="eastAsia"/>
          <w:color w:val="auto"/>
          <w:sz w:val="28"/>
          <w:szCs w:val="28"/>
          <w:lang w:val="en-US" w:eastAsia="zh-CN"/>
        </w:rPr>
        <w:t xml:space="preserve">（三）★第100章 总则（基价类）</w:t>
      </w:r>
      <w:r/>
    </w:p>
    <w:p>
      <w:pPr>
        <w:numPr>
          <w:ilvl w:val="0"/>
          <w:numId w:val="0"/>
        </w:numPr>
        <w:jc w:val="left"/>
        <w:spacing w:line="360" w:lineRule="auto"/>
        <w:rPr>
          <w:rFonts w:hint="eastAsia"/>
          <w:color w:val="auto"/>
          <w:sz w:val="28"/>
          <w:szCs w:val="28"/>
          <w:lang w:val="en-US" w:eastAsia="zh-CN"/>
        </w:rPr>
      </w:pPr>
      <w:r>
        <w:rPr>
          <w:rFonts w:hint="eastAsia"/>
          <w:color w:val="auto"/>
          <w:sz w:val="28"/>
          <w:szCs w:val="28"/>
          <w:lang w:val="en-US" w:eastAsia="zh-CN"/>
        </w:rPr>
        <w:t xml:space="preserve">（四）★第200章 S122辅道（汤山段）日常养护路基服务（单价类）</w:t>
      </w:r>
      <w:r/>
    </w:p>
    <w:p>
      <w:pPr>
        <w:numPr>
          <w:ilvl w:val="0"/>
          <w:numId w:val="0"/>
        </w:numPr>
        <w:jc w:val="left"/>
        <w:spacing w:line="360" w:lineRule="auto"/>
        <w:rPr>
          <w:rFonts w:hint="eastAsia"/>
          <w:color w:val="auto"/>
          <w:sz w:val="28"/>
          <w:szCs w:val="28"/>
          <w:lang w:val="en-US" w:eastAsia="zh-CN"/>
        </w:rPr>
      </w:pPr>
      <w:r>
        <w:rPr>
          <w:rFonts w:hint="eastAsia"/>
          <w:color w:val="auto"/>
          <w:sz w:val="28"/>
          <w:szCs w:val="28"/>
          <w:lang w:val="en-US" w:eastAsia="zh-CN"/>
        </w:rPr>
        <w:t xml:space="preserve">（五）★第300章 S122辅道（汤山段）日常养护路面服务（基价类）</w:t>
      </w:r>
      <w:r/>
    </w:p>
    <w:p>
      <w:pPr>
        <w:numPr>
          <w:ilvl w:val="0"/>
          <w:numId w:val="0"/>
        </w:numPr>
        <w:jc w:val="left"/>
        <w:spacing w:line="360" w:lineRule="auto"/>
        <w:rPr>
          <w:rFonts w:hint="eastAsia"/>
          <w:color w:val="auto"/>
          <w:sz w:val="28"/>
          <w:szCs w:val="28"/>
          <w:lang w:val="en-US" w:eastAsia="zh-CN"/>
        </w:rPr>
      </w:pPr>
      <w:r>
        <w:rPr>
          <w:rFonts w:hint="eastAsia"/>
          <w:color w:val="auto"/>
          <w:sz w:val="28"/>
          <w:szCs w:val="28"/>
          <w:lang w:val="en-US" w:eastAsia="zh-CN"/>
        </w:rPr>
        <w:t xml:space="preserve">（六）★第300章 S122辅道（汤山段）日常养护路面服务（单价类）</w:t>
      </w:r>
      <w:r/>
    </w:p>
    <w:p>
      <w:pPr>
        <w:numPr>
          <w:ilvl w:val="0"/>
          <w:numId w:val="0"/>
        </w:numPr>
        <w:jc w:val="left"/>
        <w:spacing w:line="360" w:lineRule="auto"/>
        <w:rPr>
          <w:rFonts w:hint="eastAsia"/>
          <w:color w:val="auto"/>
          <w:sz w:val="28"/>
          <w:szCs w:val="28"/>
          <w:lang w:val="en-US" w:eastAsia="zh-CN"/>
        </w:rPr>
      </w:pPr>
      <w:r>
        <w:rPr>
          <w:rFonts w:hint="eastAsia"/>
          <w:color w:val="auto"/>
          <w:sz w:val="28"/>
          <w:szCs w:val="28"/>
          <w:lang w:val="en-US" w:eastAsia="zh-CN"/>
        </w:rPr>
        <w:t xml:space="preserve">（七）★第400章 S122辅道（汤山段）日常养护桥梁、涵洞服务（基价类）</w:t>
      </w:r>
      <w:r/>
    </w:p>
    <w:p>
      <w:pPr>
        <w:numPr>
          <w:ilvl w:val="0"/>
          <w:numId w:val="0"/>
        </w:numPr>
        <w:jc w:val="left"/>
        <w:spacing w:line="360" w:lineRule="auto"/>
        <w:rPr>
          <w:rFonts w:hint="eastAsia"/>
          <w:color w:val="auto"/>
          <w:sz w:val="28"/>
          <w:szCs w:val="28"/>
          <w:lang w:val="en-US" w:eastAsia="zh-CN"/>
        </w:rPr>
      </w:pPr>
      <w:r>
        <w:rPr>
          <w:rFonts w:hint="eastAsia"/>
          <w:color w:val="auto"/>
          <w:sz w:val="28"/>
          <w:szCs w:val="28"/>
          <w:lang w:val="en-US" w:eastAsia="zh-CN"/>
        </w:rPr>
        <w:t xml:space="preserve">（八）★第400章 S122辅道（汤山段）日常养护桥梁、涵洞服务（单价类）</w:t>
      </w:r>
      <w:r/>
    </w:p>
    <w:p>
      <w:pPr>
        <w:numPr>
          <w:ilvl w:val="0"/>
          <w:numId w:val="0"/>
        </w:numPr>
        <w:jc w:val="left"/>
        <w:spacing w:line="360" w:lineRule="auto"/>
        <w:rPr>
          <w:rFonts w:hint="eastAsia"/>
          <w:color w:val="auto"/>
          <w:sz w:val="28"/>
          <w:szCs w:val="28"/>
          <w:lang w:val="en-US" w:eastAsia="zh-CN"/>
        </w:rPr>
      </w:pPr>
      <w:r>
        <w:rPr>
          <w:rFonts w:hint="eastAsia"/>
          <w:color w:val="auto"/>
          <w:sz w:val="28"/>
          <w:szCs w:val="28"/>
          <w:lang w:val="en-US" w:eastAsia="zh-CN"/>
        </w:rPr>
        <w:t xml:space="preserve">（九）★第500章 S122辅道（汤山段）日常养护安全设施及预埋管线服务（基价类）                            </w:t>
      </w:r>
      <w:r/>
    </w:p>
    <w:p>
      <w:pPr>
        <w:numPr>
          <w:ilvl w:val="0"/>
          <w:numId w:val="0"/>
        </w:numPr>
        <w:jc w:val="left"/>
        <w:spacing w:line="360" w:lineRule="auto"/>
        <w:rPr>
          <w:rFonts w:hint="eastAsia"/>
          <w:color w:val="auto"/>
          <w:sz w:val="28"/>
          <w:szCs w:val="28"/>
          <w:lang w:val="en-US" w:eastAsia="zh-CN"/>
        </w:rPr>
      </w:pPr>
      <w:r>
        <w:rPr>
          <w:rFonts w:hint="eastAsia"/>
          <w:color w:val="auto"/>
          <w:sz w:val="28"/>
          <w:szCs w:val="28"/>
          <w:lang w:val="en-US" w:eastAsia="zh-CN"/>
        </w:rPr>
        <w:t xml:space="preserve">（十）★第500章 S122辅道（汤山段）日常养护安全设施及预埋管线服务（单价类）</w:t>
      </w:r>
      <w:r/>
    </w:p>
    <w:p>
      <w:pPr>
        <w:numPr>
          <w:ilvl w:val="0"/>
          <w:numId w:val="0"/>
        </w:numPr>
        <w:jc w:val="left"/>
        <w:spacing w:line="360" w:lineRule="auto"/>
        <w:rPr>
          <w:rFonts w:hint="eastAsia"/>
          <w:color w:val="auto"/>
          <w:sz w:val="28"/>
          <w:szCs w:val="28"/>
          <w:lang w:val="en-US" w:eastAsia="zh-CN"/>
        </w:rPr>
      </w:pPr>
      <w:r>
        <w:rPr>
          <w:rFonts w:hint="eastAsia"/>
          <w:color w:val="auto"/>
          <w:sz w:val="28"/>
          <w:szCs w:val="28"/>
          <w:lang w:val="en-US" w:eastAsia="zh-CN"/>
        </w:rPr>
        <w:t xml:space="preserve">（十一）★第600章 S122辅道（汤山段）日常养护绿化及环境保护设施服务（基价类）    </w:t>
      </w:r>
      <w:r/>
    </w:p>
    <w:p>
      <w:pPr>
        <w:numPr>
          <w:ilvl w:val="0"/>
          <w:numId w:val="0"/>
        </w:numPr>
        <w:jc w:val="left"/>
        <w:spacing w:line="360" w:lineRule="auto"/>
        <w:rPr>
          <w:rFonts w:hint="eastAsia"/>
          <w:color w:val="auto"/>
          <w:sz w:val="28"/>
          <w:szCs w:val="28"/>
          <w:lang w:val="en-US" w:eastAsia="zh-CN"/>
        </w:rPr>
      </w:pPr>
      <w:r>
        <w:rPr>
          <w:rFonts w:hint="eastAsia"/>
          <w:color w:val="auto"/>
          <w:sz w:val="28"/>
          <w:szCs w:val="28"/>
          <w:lang w:val="en-US" w:eastAsia="zh-CN"/>
        </w:rPr>
        <w:t xml:space="preserve">（十二）★第600章 S122辅道（汤山段）日常养护绿化及环境保护设施服务（单价类）                                                                                         </w:t>
      </w:r>
      <w:r/>
    </w:p>
    <w:p>
      <w:pPr>
        <w:jc w:val="left"/>
        <w:rPr>
          <w:rFonts w:hint="eastAsia" w:ascii="宋体" w:hAnsi="宋体" w:cs="宋体"/>
          <w:b/>
          <w:color w:val="auto"/>
          <w:spacing w:val="15"/>
          <w:szCs w:val="21"/>
          <w:highlight w:val="none"/>
        </w:rPr>
      </w:pPr>
      <w:r>
        <w:rPr>
          <w:rFonts w:hint="eastAsia" w:ascii="宋体" w:hAnsi="宋体" w:cs="宋体"/>
          <w:b/>
          <w:color w:val="auto"/>
          <w:spacing w:val="15"/>
          <w:szCs w:val="21"/>
          <w:highlight w:val="none"/>
        </w:rPr>
        <w:br w:type="page" w:clear="all"/>
      </w:r>
      <w:bookmarkEnd w:id="112"/>
      <w:r/>
      <w:bookmarkStart w:id="115" w:name="_Toc31028"/>
      <w:r/>
      <w:r/>
    </w:p>
    <w:p>
      <w:pPr>
        <w:pStyle w:val="807"/>
        <w:rPr>
          <w:rFonts w:hint="eastAsia"/>
          <w:color w:val="auto"/>
          <w:lang w:eastAsia="zh-CN"/>
        </w:rPr>
      </w:pPr>
      <w:r>
        <w:rPr>
          <w:rFonts w:hint="eastAsia"/>
          <w:color w:val="auto"/>
          <w:lang w:eastAsia="zh-CN"/>
        </w:rPr>
        <w:t xml:space="preserve">（</w:t>
      </w:r>
      <w:r>
        <w:rPr>
          <w:rFonts w:hint="eastAsia"/>
          <w:color w:val="auto"/>
          <w:lang w:val="en-US" w:eastAsia="zh-CN"/>
        </w:rPr>
        <w:t xml:space="preserve">一</w:t>
      </w:r>
      <w:r>
        <w:rPr>
          <w:rFonts w:hint="eastAsia"/>
          <w:color w:val="auto"/>
          <w:lang w:eastAsia="zh-CN"/>
        </w:rPr>
        <w:t xml:space="preserve">）</w:t>
      </w:r>
      <w:r>
        <w:rPr>
          <w:rFonts w:hint="eastAsia"/>
          <w:color w:val="auto"/>
          <w:lang w:val="en-US" w:eastAsia="zh-CN"/>
        </w:rPr>
        <w:t xml:space="preserve">采购清单总体说明</w:t>
      </w:r>
      <w:r/>
    </w:p>
    <w:p>
      <w:pPr>
        <w:ind w:firstLine="420"/>
        <w:keepLines w:val="0"/>
        <w:keepNext w:val="0"/>
        <w:pageBreakBefore w:val="0"/>
        <w:spacing w:line="360" w:lineRule="auto"/>
        <w:widowControl w:val="off"/>
        <w:rPr>
          <w:color w:val="auto"/>
          <w:highlight w:val="none"/>
        </w:rPr>
      </w:pPr>
      <w:r>
        <w:rPr>
          <w:rFonts w:hint="eastAsia"/>
          <w:color w:val="auto"/>
          <w:highlight w:val="none"/>
        </w:rPr>
        <w:t xml:space="preserve">1.采购清单说明</w:t>
      </w:r>
      <w:r/>
    </w:p>
    <w:p>
      <w:pPr>
        <w:ind w:firstLine="420"/>
        <w:keepLines w:val="0"/>
        <w:keepNext w:val="0"/>
        <w:pageBreakBefore w:val="0"/>
        <w:spacing w:line="360" w:lineRule="auto"/>
        <w:widowControl w:val="off"/>
        <w:rPr>
          <w:color w:val="auto"/>
          <w:highlight w:val="none"/>
        </w:rPr>
      </w:pPr>
      <w:r>
        <w:rPr>
          <w:rFonts w:hint="eastAsia"/>
          <w:color w:val="auto"/>
          <w:highlight w:val="none"/>
        </w:rPr>
        <w:t xml:space="preserve">1.1 本采购清单是根据招标文件中包括的、有关采购清单的国家标准、行业标准、合同条款中约定的工程量计算规则编制。约定计量规则中没有的子目，其工程量按照有合同约束力的图纸所标示尺寸的理论净量计算。计量采用中华人民共和国法定计量单位。</w:t>
      </w:r>
      <w:r/>
    </w:p>
    <w:p>
      <w:pPr>
        <w:ind w:firstLine="420"/>
        <w:keepLines w:val="0"/>
        <w:keepNext w:val="0"/>
        <w:pageBreakBefore w:val="0"/>
        <w:spacing w:line="360" w:lineRule="auto"/>
        <w:widowControl w:val="off"/>
        <w:rPr>
          <w:color w:val="auto"/>
          <w:highlight w:val="none"/>
        </w:rPr>
      </w:pPr>
      <w:r>
        <w:rPr>
          <w:rFonts w:hint="eastAsia"/>
          <w:color w:val="auto"/>
          <w:highlight w:val="none"/>
        </w:rPr>
        <w:t xml:space="preserve">1.2 本采购清单应与招标文件中的投标人须知、合同文件等一起阅读和理解。</w:t>
      </w:r>
      <w:r/>
    </w:p>
    <w:p>
      <w:pPr>
        <w:ind w:firstLine="420"/>
        <w:keepLines w:val="0"/>
        <w:keepNext w:val="0"/>
        <w:pageBreakBefore w:val="0"/>
        <w:spacing w:line="360" w:lineRule="auto"/>
        <w:widowControl w:val="off"/>
        <w:rPr>
          <w:color w:val="auto"/>
          <w:highlight w:val="none"/>
        </w:rPr>
      </w:pPr>
      <w:r>
        <w:rPr>
          <w:rFonts w:hint="eastAsia"/>
          <w:color w:val="auto"/>
          <w:highlight w:val="none"/>
        </w:rPr>
        <w:t xml:space="preserve">1.3本采购清单中所列工程数量为采购人暂定量，仅作为投标报价的共同基础，不能作为最终结算与支付的依据。实际支付应按实际完成的工程量，由中标人按技术规范规定的计量方法，以采购人认可的尺寸、断面计量，按本采购清单的单价和总额价计算支付金额；或者根据具体情况，由采购人确定的单价或总额价计算支付额.</w:t>
      </w:r>
      <w:r/>
    </w:p>
    <w:p>
      <w:pPr>
        <w:ind w:firstLine="420"/>
        <w:keepLines w:val="0"/>
        <w:keepNext w:val="0"/>
        <w:pageBreakBefore w:val="0"/>
        <w:spacing w:line="360" w:lineRule="auto"/>
        <w:widowControl w:val="off"/>
        <w:rPr>
          <w:color w:val="auto"/>
          <w:highlight w:val="none"/>
        </w:rPr>
      </w:pPr>
      <w:r>
        <w:rPr>
          <w:rFonts w:hint="eastAsia"/>
          <w:color w:val="auto"/>
          <w:highlight w:val="none"/>
        </w:rPr>
        <w:t xml:space="preserve">1.4 采购清单中所列工程量的变动，丝毫不会降低或影响合同条款的效力，也不免除中标人按规定的标准进行施工和修复缺陷的责任。</w:t>
      </w:r>
      <w:r/>
    </w:p>
    <w:p>
      <w:pPr>
        <w:ind w:firstLine="420"/>
        <w:keepLines w:val="0"/>
        <w:keepNext w:val="0"/>
        <w:pageBreakBefore w:val="0"/>
        <w:spacing w:line="360" w:lineRule="auto"/>
        <w:widowControl w:val="off"/>
        <w:rPr>
          <w:color w:val="auto"/>
          <w:highlight w:val="none"/>
        </w:rPr>
      </w:pPr>
      <w:r>
        <w:rPr>
          <w:rFonts w:hint="eastAsia"/>
          <w:color w:val="auto"/>
          <w:highlight w:val="none"/>
        </w:rPr>
        <w:t xml:space="preserve">1.5经批准的工程数量表及数量汇总表仅是提供资料，不是采购清单的外延。当经批准的工程数量表与采购清单所列数量不一致时，以采购清单所列数量作为报价的依据。</w:t>
      </w:r>
      <w:r/>
    </w:p>
    <w:p>
      <w:pPr>
        <w:ind w:firstLine="420"/>
        <w:keepLines w:val="0"/>
        <w:keepNext w:val="0"/>
        <w:pageBreakBefore w:val="0"/>
        <w:spacing w:line="360" w:lineRule="auto"/>
        <w:widowControl w:val="off"/>
        <w:rPr>
          <w:color w:val="auto"/>
          <w:highlight w:val="none"/>
        </w:rPr>
      </w:pPr>
      <w:r>
        <w:rPr>
          <w:rFonts w:hint="eastAsia"/>
          <w:color w:val="auto"/>
          <w:highlight w:val="none"/>
        </w:rPr>
        <w:t xml:space="preserve">2．投标报价说明</w:t>
      </w:r>
      <w:r/>
    </w:p>
    <w:p>
      <w:pPr>
        <w:ind w:firstLine="420"/>
        <w:keepLines w:val="0"/>
        <w:keepNext w:val="0"/>
        <w:pageBreakBefore w:val="0"/>
        <w:spacing w:line="360" w:lineRule="auto"/>
        <w:widowControl w:val="off"/>
        <w:rPr>
          <w:color w:val="auto"/>
          <w:highlight w:val="none"/>
        </w:rPr>
      </w:pPr>
      <w:r>
        <w:rPr>
          <w:rFonts w:hint="eastAsia"/>
          <w:color w:val="auto"/>
          <w:highlight w:val="none"/>
        </w:rPr>
        <w:t xml:space="preserve">2.1 采购清单中的每一子目须填入单价或价格，且只允许有一个报价。</w:t>
      </w:r>
      <w:r/>
    </w:p>
    <w:p>
      <w:pPr>
        <w:ind w:firstLine="420"/>
        <w:keepLines w:val="0"/>
        <w:keepNext w:val="0"/>
        <w:pageBreakBefore w:val="0"/>
        <w:spacing w:line="360" w:lineRule="auto"/>
        <w:widowControl w:val="off"/>
        <w:rPr>
          <w:color w:val="auto"/>
          <w:highlight w:val="none"/>
        </w:rPr>
      </w:pPr>
      <w:r>
        <w:rPr>
          <w:rFonts w:hint="eastAsia"/>
          <w:color w:val="auto"/>
          <w:highlight w:val="none"/>
        </w:rPr>
        <w:t xml:space="preserve">2.2 除非合同另有规定，采购清单中有标价的单价和总额价均已包括了为实施和完成合同工程所需的劳务、材料、机械、质检（自检）、安装、缺陷修复、管理、保险、税费、利润和安全生产费等费用，以及合同明示或暗示的所有责任、义务和一般风险。</w:t>
      </w:r>
      <w:r/>
    </w:p>
    <w:p>
      <w:pPr>
        <w:ind w:firstLine="420"/>
        <w:keepLines w:val="0"/>
        <w:keepNext w:val="0"/>
        <w:pageBreakBefore w:val="0"/>
        <w:spacing w:line="360" w:lineRule="auto"/>
        <w:widowControl w:val="off"/>
        <w:rPr>
          <w:color w:val="auto"/>
          <w:highlight w:val="none"/>
        </w:rPr>
      </w:pPr>
      <w:r>
        <w:rPr>
          <w:rFonts w:hint="eastAsia"/>
          <w:color w:val="auto"/>
          <w:highlight w:val="none"/>
        </w:rPr>
        <w:t xml:space="preserve">2.3 采购清单中供应商没有填入单价或价格的子目，其费用视为已分摊在采购清单中其他相关子目的单价或价格之中。中标人必须按采购人指令完成采购清单中未填入单价或价格的子目，但不能得到结算与支付。</w:t>
      </w:r>
      <w:r/>
    </w:p>
    <w:p>
      <w:pPr>
        <w:ind w:firstLine="420"/>
        <w:keepLines w:val="0"/>
        <w:keepNext w:val="0"/>
        <w:pageBreakBefore w:val="0"/>
        <w:spacing w:line="360" w:lineRule="auto"/>
        <w:widowControl w:val="off"/>
        <w:rPr>
          <w:color w:val="auto"/>
          <w:highlight w:val="none"/>
        </w:rPr>
      </w:pPr>
      <w:r>
        <w:rPr>
          <w:rFonts w:hint="eastAsia"/>
          <w:color w:val="auto"/>
          <w:highlight w:val="none"/>
        </w:rPr>
        <w:t xml:space="preserve">2.4 符合合同条款规定的全部费用应认为已被计入有标价的采购清单所列各子目之中，未列子目不予计量的工作，其费用应视为已分摊在本合同工程的有关子目的单价或总额价之中。</w:t>
      </w:r>
      <w:r/>
    </w:p>
    <w:p>
      <w:pPr>
        <w:ind w:firstLine="420"/>
        <w:keepLines w:val="0"/>
        <w:keepNext w:val="0"/>
        <w:pageBreakBefore w:val="0"/>
        <w:spacing w:line="360" w:lineRule="auto"/>
        <w:widowControl w:val="off"/>
        <w:rPr>
          <w:color w:val="auto"/>
          <w:highlight w:val="none"/>
        </w:rPr>
      </w:pPr>
      <w:r>
        <w:rPr>
          <w:rFonts w:hint="eastAsia"/>
          <w:color w:val="auto"/>
          <w:highlight w:val="none"/>
        </w:rPr>
        <w:t xml:space="preserve">2.5 中标人用于本合同工程的各类装备的提供、运输、维护、拆卸、拼装等支付的费用，已包括在采购清单的单价与总额价之中。</w:t>
      </w:r>
      <w:r/>
    </w:p>
    <w:p>
      <w:pPr>
        <w:ind w:firstLine="420"/>
        <w:keepLines w:val="0"/>
        <w:keepNext w:val="0"/>
        <w:pageBreakBefore w:val="0"/>
        <w:spacing w:line="360" w:lineRule="auto"/>
        <w:widowControl w:val="off"/>
        <w:rPr>
          <w:color w:val="auto"/>
          <w:highlight w:val="none"/>
        </w:rPr>
      </w:pPr>
      <w:r>
        <w:rPr>
          <w:rFonts w:hint="eastAsia"/>
          <w:color w:val="auto"/>
          <w:highlight w:val="none"/>
        </w:rPr>
        <w:t xml:space="preserve">2.6 采购清单中各项金额均以人民币（元）结算。</w:t>
      </w:r>
      <w:r/>
    </w:p>
    <w:p>
      <w:pPr>
        <w:ind w:firstLine="420"/>
        <w:keepLines w:val="0"/>
        <w:keepNext w:val="0"/>
        <w:pageBreakBefore w:val="0"/>
        <w:spacing w:line="360" w:lineRule="auto"/>
        <w:widowControl w:val="off"/>
        <w:rPr>
          <w:color w:val="auto"/>
          <w:highlight w:val="none"/>
        </w:rPr>
      </w:pPr>
      <w:r>
        <w:rPr>
          <w:rFonts w:hint="eastAsia"/>
          <w:color w:val="auto"/>
          <w:highlight w:val="none"/>
        </w:rPr>
        <w:t xml:space="preserve">3．计日工说明</w:t>
      </w:r>
      <w:r/>
    </w:p>
    <w:p>
      <w:pPr>
        <w:ind w:firstLine="420"/>
        <w:keepLines w:val="0"/>
        <w:keepNext w:val="0"/>
        <w:pageBreakBefore w:val="0"/>
        <w:spacing w:line="360" w:lineRule="auto"/>
        <w:widowControl w:val="off"/>
        <w:rPr>
          <w:color w:val="auto"/>
          <w:highlight w:val="none"/>
        </w:rPr>
      </w:pPr>
      <w:r>
        <w:rPr>
          <w:rFonts w:hint="eastAsia"/>
          <w:color w:val="auto"/>
          <w:highlight w:val="none"/>
        </w:rPr>
        <w:t xml:space="preserve">    3.1 总则</w:t>
      </w:r>
      <w:r/>
    </w:p>
    <w:p>
      <w:pPr>
        <w:ind w:firstLine="420"/>
        <w:keepLines w:val="0"/>
        <w:keepNext w:val="0"/>
        <w:pageBreakBefore w:val="0"/>
        <w:spacing w:line="360" w:lineRule="auto"/>
        <w:widowControl w:val="off"/>
        <w:rPr>
          <w:color w:val="auto"/>
          <w:highlight w:val="none"/>
        </w:rPr>
      </w:pPr>
      <w:r>
        <w:rPr>
          <w:rFonts w:hint="eastAsia"/>
          <w:color w:val="auto"/>
          <w:highlight w:val="none"/>
        </w:rPr>
        <w:t xml:space="preserve">（1）未经采购人书面指令，任何工程不得按计日工施工；接到采购人按计日工施工的书面指令，中标人也不得拒绝。</w:t>
      </w:r>
      <w:r/>
    </w:p>
    <w:p>
      <w:pPr>
        <w:ind w:firstLine="420"/>
        <w:keepLines w:val="0"/>
        <w:keepNext w:val="0"/>
        <w:pageBreakBefore w:val="0"/>
        <w:spacing w:line="360" w:lineRule="auto"/>
        <w:widowControl w:val="off"/>
        <w:rPr>
          <w:color w:val="auto"/>
          <w:highlight w:val="none"/>
        </w:rPr>
      </w:pPr>
      <w:r>
        <w:rPr>
          <w:rFonts w:hint="eastAsia"/>
          <w:color w:val="auto"/>
          <w:highlight w:val="none"/>
        </w:rPr>
        <w:t xml:space="preserve">（2）供应商应在计日工单价表中填列计日工子目的基本单价或租价，该基本单价或租价适用于采购人指令的任何数量的计日工的结算与支付。计日工的劳务、材料和施工机械由采购人（或采购人）列出正常的估计数量，供应商报出单价，计算出计日工总额后列入采购清单汇总表中并进入评标价。</w:t>
      </w:r>
      <w:r/>
    </w:p>
    <w:p>
      <w:pPr>
        <w:ind w:firstLine="420"/>
        <w:keepLines w:val="0"/>
        <w:keepNext w:val="0"/>
        <w:pageBreakBefore w:val="0"/>
        <w:spacing w:line="360" w:lineRule="auto"/>
        <w:widowControl w:val="off"/>
        <w:rPr>
          <w:color w:val="auto"/>
          <w:highlight w:val="none"/>
        </w:rPr>
      </w:pPr>
      <w:r>
        <w:rPr>
          <w:rFonts w:hint="eastAsia"/>
          <w:color w:val="auto"/>
          <w:highlight w:val="none"/>
        </w:rPr>
        <w:t xml:space="preserve">（3）计日工不调价。</w:t>
      </w:r>
      <w:r/>
    </w:p>
    <w:p>
      <w:pPr>
        <w:ind w:firstLine="420"/>
        <w:keepLines w:val="0"/>
        <w:keepNext w:val="0"/>
        <w:pageBreakBefore w:val="0"/>
        <w:spacing w:line="360" w:lineRule="auto"/>
        <w:widowControl w:val="off"/>
        <w:rPr>
          <w:color w:val="auto"/>
          <w:highlight w:val="none"/>
        </w:rPr>
      </w:pPr>
      <w:r>
        <w:rPr>
          <w:rFonts w:hint="eastAsia"/>
          <w:color w:val="auto"/>
          <w:highlight w:val="none"/>
        </w:rPr>
        <w:t xml:space="preserve">3.2 计日工劳务</w:t>
      </w:r>
      <w:r/>
    </w:p>
    <w:p>
      <w:pPr>
        <w:ind w:firstLine="420"/>
        <w:keepLines w:val="0"/>
        <w:keepNext w:val="0"/>
        <w:pageBreakBefore w:val="0"/>
        <w:spacing w:line="360" w:lineRule="auto"/>
        <w:widowControl w:val="off"/>
        <w:rPr>
          <w:color w:val="auto"/>
          <w:highlight w:val="none"/>
        </w:rPr>
      </w:pPr>
      <w:r>
        <w:rPr>
          <w:rFonts w:hint="eastAsia"/>
          <w:color w:val="auto"/>
          <w:highlight w:val="none"/>
        </w:rPr>
        <w:t xml:space="preserve">（l）在计算应付给中标人的计日工工资时，工时应从工人到达施工现场，并开始从事指定的工作算起，到返回原出发地点为止，扣去用餐和休息的时间。只有直接从事指定的工作，且能胜任该工作的工人才能计工，随同工人—起做工的班长应计算在内，但不包括领工（工长）和其他质检管理人员。</w:t>
      </w:r>
      <w:r/>
    </w:p>
    <w:p>
      <w:pPr>
        <w:ind w:firstLine="420"/>
        <w:keepLines w:val="0"/>
        <w:keepNext w:val="0"/>
        <w:pageBreakBefore w:val="0"/>
        <w:spacing w:line="360" w:lineRule="auto"/>
        <w:widowControl w:val="off"/>
        <w:rPr>
          <w:color w:val="auto"/>
          <w:highlight w:val="none"/>
        </w:rPr>
      </w:pPr>
      <w:r>
        <w:rPr>
          <w:rFonts w:hint="eastAsia"/>
          <w:color w:val="auto"/>
          <w:highlight w:val="none"/>
        </w:rPr>
        <w:t xml:space="preserve">（2）中标人可以得到用于计日工劳务的全部工时的支付，此支付按中标人填报的“计日工劳务单价表”所列单价计算，该单价应包括基本单价及中标人的管理费、税费、利润等所有附加费，说明如下：</w:t>
      </w:r>
      <w:r/>
    </w:p>
    <w:p>
      <w:pPr>
        <w:ind w:firstLine="420"/>
        <w:keepLines w:val="0"/>
        <w:keepNext w:val="0"/>
        <w:pageBreakBefore w:val="0"/>
        <w:spacing w:line="360" w:lineRule="auto"/>
        <w:widowControl w:val="off"/>
        <w:rPr>
          <w:color w:val="auto"/>
          <w:highlight w:val="none"/>
        </w:rPr>
      </w:pPr>
      <w:r>
        <w:rPr>
          <w:rFonts w:hint="eastAsia"/>
          <w:color w:val="auto"/>
          <w:highlight w:val="none"/>
        </w:rPr>
        <w:t xml:space="preserve">a.劳务基本单价包括：中标人劳务的全部直接费用，如：工资、加班费、津贴、福利费及劳动保护费等。</w:t>
      </w:r>
      <w:r/>
    </w:p>
    <w:p>
      <w:pPr>
        <w:ind w:firstLine="420"/>
        <w:keepLines w:val="0"/>
        <w:keepNext w:val="0"/>
        <w:pageBreakBefore w:val="0"/>
        <w:spacing w:line="360" w:lineRule="auto"/>
        <w:widowControl w:val="off"/>
        <w:rPr>
          <w:color w:val="auto"/>
          <w:highlight w:val="none"/>
        </w:rPr>
      </w:pPr>
      <w:r>
        <w:rPr>
          <w:rFonts w:hint="eastAsia"/>
          <w:color w:val="auto"/>
          <w:highlight w:val="none"/>
        </w:rPr>
        <w:t xml:space="preserve">b.中标人的利润、管理、质检、保险、税费；易耗品的使用、水电及照明费，工作台、脚手架、临时设施费，手动机具与工具的使用及维修，以及上述各项伴随而来的费用。</w:t>
      </w:r>
      <w:r/>
    </w:p>
    <w:p>
      <w:pPr>
        <w:ind w:firstLine="420"/>
        <w:keepLines w:val="0"/>
        <w:keepNext w:val="0"/>
        <w:pageBreakBefore w:val="0"/>
        <w:spacing w:line="360" w:lineRule="auto"/>
        <w:widowControl w:val="off"/>
        <w:rPr>
          <w:color w:val="auto"/>
          <w:highlight w:val="none"/>
        </w:rPr>
      </w:pPr>
      <w:r>
        <w:rPr>
          <w:rFonts w:hint="eastAsia"/>
          <w:color w:val="auto"/>
          <w:highlight w:val="none"/>
        </w:rPr>
        <w:t xml:space="preserve">3.3 计日工材料</w:t>
      </w:r>
      <w:r/>
    </w:p>
    <w:p>
      <w:pPr>
        <w:ind w:firstLine="420"/>
        <w:keepLines w:val="0"/>
        <w:keepNext w:val="0"/>
        <w:pageBreakBefore w:val="0"/>
        <w:spacing w:line="360" w:lineRule="auto"/>
        <w:widowControl w:val="off"/>
        <w:rPr>
          <w:color w:val="auto"/>
          <w:highlight w:val="none"/>
        </w:rPr>
      </w:pPr>
      <w:r>
        <w:rPr>
          <w:rFonts w:hint="eastAsia"/>
          <w:color w:val="auto"/>
          <w:highlight w:val="none"/>
        </w:rPr>
        <w:t xml:space="preserve">（1）中标人可以得到计日工使用的材料费用（上述3.2款已计入劳务费内的材料费用除外）的支付，此费用按中标人“计日工材料单价表”中所填报的单价计算，该单价应包括基本单价及中标人的管理费、税费、利润等所有附加费，说明如下：</w:t>
      </w:r>
      <w:r/>
    </w:p>
    <w:p>
      <w:pPr>
        <w:ind w:firstLine="420"/>
        <w:keepLines w:val="0"/>
        <w:keepNext w:val="0"/>
        <w:pageBreakBefore w:val="0"/>
        <w:spacing w:line="360" w:lineRule="auto"/>
        <w:widowControl w:val="off"/>
        <w:rPr>
          <w:color w:val="auto"/>
          <w:highlight w:val="none"/>
        </w:rPr>
      </w:pPr>
      <w:r>
        <w:rPr>
          <w:rFonts w:hint="eastAsia"/>
          <w:color w:val="auto"/>
          <w:highlight w:val="none"/>
        </w:rPr>
        <w:t xml:space="preserve">a．材料基本单价按供货价加运杂费（到达中标人现场仓库）、保险费、仓库管理费以及运输损耗等计算;</w:t>
      </w:r>
      <w:r/>
    </w:p>
    <w:p>
      <w:pPr>
        <w:ind w:firstLine="420"/>
        <w:keepLines w:val="0"/>
        <w:keepNext w:val="0"/>
        <w:pageBreakBefore w:val="0"/>
        <w:spacing w:line="360" w:lineRule="auto"/>
        <w:widowControl w:val="off"/>
        <w:rPr>
          <w:color w:val="auto"/>
          <w:highlight w:val="none"/>
        </w:rPr>
      </w:pPr>
      <w:r>
        <w:rPr>
          <w:rFonts w:hint="eastAsia"/>
          <w:color w:val="auto"/>
          <w:highlight w:val="none"/>
        </w:rPr>
        <w:t xml:space="preserve">b. 中标人的利润、管理、质检、保险、税费及其他附加费;</w:t>
      </w:r>
      <w:r/>
    </w:p>
    <w:p>
      <w:pPr>
        <w:ind w:firstLine="420"/>
        <w:keepLines w:val="0"/>
        <w:keepNext w:val="0"/>
        <w:pageBreakBefore w:val="0"/>
        <w:spacing w:line="360" w:lineRule="auto"/>
        <w:widowControl w:val="off"/>
        <w:rPr>
          <w:color w:val="auto"/>
          <w:highlight w:val="none"/>
        </w:rPr>
      </w:pPr>
      <w:r>
        <w:rPr>
          <w:rFonts w:hint="eastAsia"/>
          <w:color w:val="auto"/>
          <w:highlight w:val="none"/>
        </w:rPr>
        <w:t xml:space="preserve">c．从现场运至使用地点的人工费和施工机械使用费不包括在上述基本单价内。</w:t>
      </w:r>
      <w:r/>
    </w:p>
    <w:p>
      <w:pPr>
        <w:ind w:firstLine="420"/>
        <w:keepLines w:val="0"/>
        <w:keepNext w:val="0"/>
        <w:pageBreakBefore w:val="0"/>
        <w:spacing w:line="360" w:lineRule="auto"/>
        <w:widowControl w:val="off"/>
        <w:rPr>
          <w:color w:val="auto"/>
          <w:highlight w:val="none"/>
        </w:rPr>
      </w:pPr>
      <w:r>
        <w:rPr>
          <w:rFonts w:hint="eastAsia"/>
          <w:color w:val="auto"/>
          <w:highlight w:val="none"/>
        </w:rPr>
        <w:t xml:space="preserve">3.4 计日工施工机械</w:t>
      </w:r>
      <w:r/>
    </w:p>
    <w:p>
      <w:pPr>
        <w:ind w:firstLine="420"/>
        <w:keepLines w:val="0"/>
        <w:keepNext w:val="0"/>
        <w:pageBreakBefore w:val="0"/>
        <w:spacing w:line="360" w:lineRule="auto"/>
        <w:widowControl w:val="off"/>
        <w:rPr>
          <w:color w:val="auto"/>
          <w:highlight w:val="none"/>
        </w:rPr>
      </w:pPr>
      <w:r>
        <w:rPr>
          <w:rFonts w:hint="eastAsia"/>
          <w:color w:val="auto"/>
          <w:highlight w:val="none"/>
        </w:rPr>
        <w:t xml:space="preserve">（1）中标人可以得到用于计日工作业的施工机械费用的支付，该费用按中标人填报的“计日工施工机械单价表”中的租价计算。该租价应包括施工机械的折旧、利息、维修、保养、零配件、油燃料、保险和其他消耗品的费用以及全部有关使用这些机械的管理费、税费、利润和司机与助手的劳务费等费用。</w:t>
      </w:r>
      <w:r/>
    </w:p>
    <w:p>
      <w:pPr>
        <w:ind w:firstLine="420"/>
        <w:keepLines w:val="0"/>
        <w:keepNext w:val="0"/>
        <w:pageBreakBefore w:val="0"/>
        <w:spacing w:line="360" w:lineRule="auto"/>
        <w:widowControl w:val="off"/>
        <w:rPr>
          <w:color w:val="auto"/>
          <w:highlight w:val="none"/>
        </w:rPr>
      </w:pPr>
      <w:r>
        <w:rPr>
          <w:rFonts w:hint="eastAsia"/>
          <w:color w:val="auto"/>
          <w:highlight w:val="none"/>
        </w:rPr>
        <w:t xml:space="preserve">（2）在计日工作业中，中标人计算所用的施工机械费用时，应按实际工作小时支付。除非经采购人的同意，计算的工作小时才能将施工机械从现场某处运到采购人指令的计日工作业的另一现场往返运送时间包括在内。</w:t>
      </w:r>
      <w:r/>
    </w:p>
    <w:p>
      <w:pPr>
        <w:ind w:firstLine="420"/>
        <w:keepLines w:val="0"/>
        <w:keepNext w:val="0"/>
        <w:pageBreakBefore w:val="0"/>
        <w:spacing w:line="360" w:lineRule="auto"/>
        <w:widowControl w:val="off"/>
        <w:rPr>
          <w:color w:val="auto"/>
          <w:highlight w:val="none"/>
        </w:rPr>
      </w:pPr>
      <w:r>
        <w:rPr>
          <w:rFonts w:hint="eastAsia"/>
          <w:color w:val="auto"/>
          <w:highlight w:val="none"/>
        </w:rPr>
        <w:t xml:space="preserve">4．其他说明</w:t>
      </w:r>
      <w:r/>
    </w:p>
    <w:p>
      <w:pPr>
        <w:ind w:firstLine="420"/>
        <w:keepLines w:val="0"/>
        <w:keepNext w:val="0"/>
        <w:pageBreakBefore w:val="0"/>
        <w:spacing w:line="360" w:lineRule="auto"/>
        <w:widowControl w:val="off"/>
        <w:rPr>
          <w:color w:val="auto"/>
          <w:highlight w:val="none"/>
        </w:rPr>
      </w:pPr>
      <w:r>
        <w:rPr>
          <w:rFonts w:hint="eastAsia"/>
          <w:color w:val="auto"/>
          <w:highlight w:val="none"/>
        </w:rPr>
        <w:t xml:space="preserve">4.1安全生产费用按最高限价的1.5％计取。</w:t>
      </w:r>
      <w:r/>
    </w:p>
    <w:p>
      <w:pPr>
        <w:ind w:firstLine="420"/>
        <w:keepLines w:val="0"/>
        <w:keepNext w:val="0"/>
        <w:pageBreakBefore w:val="0"/>
        <w:spacing w:line="360" w:lineRule="auto"/>
        <w:widowControl w:val="off"/>
        <w:rPr>
          <w:color w:val="auto"/>
          <w:highlight w:val="none"/>
        </w:rPr>
      </w:pPr>
      <w:r>
        <w:rPr>
          <w:rFonts w:hint="eastAsia"/>
          <w:color w:val="auto"/>
          <w:highlight w:val="none"/>
        </w:rPr>
        <w:t xml:space="preserve">4.2如清单子目中未标注规格、材质、颜色、品种、等级等，请投标人综合考虑报价，中标后清单综合单价不随规格、材质、颜色、品种、等级等差异进行调整。</w:t>
      </w:r>
      <w:r/>
    </w:p>
    <w:p>
      <w:pPr>
        <w:ind w:firstLine="420"/>
        <w:keepLines w:val="0"/>
        <w:keepNext w:val="0"/>
        <w:pageBreakBefore w:val="0"/>
        <w:spacing w:line="360" w:lineRule="auto"/>
        <w:widowControl w:val="off"/>
        <w:rPr>
          <w:color w:val="auto"/>
          <w:highlight w:val="none"/>
        </w:rPr>
      </w:pPr>
      <w:r>
        <w:rPr>
          <w:rFonts w:hint="eastAsia"/>
          <w:color w:val="auto"/>
          <w:highlight w:val="none"/>
        </w:rPr>
        <w:t xml:space="preserve">二、针对本工程的特别说明：</w:t>
      </w:r>
      <w:r/>
    </w:p>
    <w:p>
      <w:pPr>
        <w:ind w:firstLine="420"/>
        <w:keepLines w:val="0"/>
        <w:keepNext w:val="0"/>
        <w:pageBreakBefore w:val="0"/>
        <w:spacing w:line="360" w:lineRule="auto"/>
        <w:widowControl w:val="off"/>
        <w:rPr>
          <w:color w:val="auto"/>
          <w:highlight w:val="none"/>
        </w:rPr>
      </w:pPr>
      <w:r>
        <w:rPr>
          <w:rFonts w:hint="eastAsia"/>
          <w:color w:val="auto"/>
          <w:highlight w:val="none"/>
        </w:rPr>
        <w:t xml:space="preserve">参照《关于下发南京市江宁区公路事业发展中心干线公路养护管理考核与经费支付办法的通知》（江宁路【2024】23号）规定执行。</w:t>
      </w:r>
      <w:r/>
    </w:p>
    <w:tbl>
      <w:tblPr>
        <w:tblStyle w:val="816"/>
        <w:tblW w:w="8601" w:type="dxa"/>
        <w:tblInd w:w="96" w:type="dxa"/>
        <w:tblLayout w:type="autofit"/>
        <w:tblCellMar>
          <w:left w:w="108" w:type="dxa"/>
          <w:top w:w="0" w:type="dxa"/>
          <w:right w:w="108" w:type="dxa"/>
          <w:bottom w:w="0" w:type="dxa"/>
        </w:tblCellMar>
        <w:tblLook w:val="04A0" w:firstRow="1" w:lastRow="0" w:firstColumn="1" w:lastColumn="0" w:noHBand="0" w:noVBand="1"/>
      </w:tblPr>
      <w:tblGrid>
        <w:gridCol w:w="8601"/>
      </w:tblGrid>
      <w:tr>
        <w:trPr>
          <w:trHeight w:val="500"/>
        </w:trPr>
        <w:tc>
          <w:tcPr>
            <w:tcBorders>
              <w:top w:val="none" w:color="000000" w:sz="4" w:space="0"/>
              <w:left w:val="none" w:color="000000" w:sz="4" w:space="0"/>
              <w:bottom w:val="none" w:color="000000" w:sz="4" w:space="0"/>
              <w:right w:val="none" w:color="000000" w:sz="4" w:space="0"/>
            </w:tcBorders>
            <w:tcW w:w="8601" w:type="dxa"/>
            <w:vAlign w:val="center"/>
            <w:textDirection w:val="lrTb"/>
            <w:noWrap/>
          </w:tcPr>
          <w:p>
            <w:pPr>
              <w:pStyle w:val="807"/>
              <w:rPr>
                <w:rFonts w:hint="eastAsia"/>
                <w:color w:val="auto"/>
                <w:lang w:val="zh-CN"/>
              </w:rPr>
            </w:pPr>
            <w:r>
              <w:rPr>
                <w:rFonts w:hint="eastAsia"/>
                <w:color w:val="auto"/>
                <w:lang w:val="zh-CN"/>
              </w:rPr>
              <w:t xml:space="preserve">（</w:t>
            </w:r>
            <w:r>
              <w:rPr>
                <w:rFonts w:hint="eastAsia"/>
                <w:color w:val="auto"/>
                <w:lang w:val="en-US" w:eastAsia="zh-CN"/>
              </w:rPr>
              <w:t xml:space="preserve">二</w:t>
            </w:r>
            <w:r>
              <w:rPr>
                <w:rFonts w:hint="eastAsia"/>
                <w:color w:val="auto"/>
                <w:lang w:val="zh-CN"/>
              </w:rPr>
              <w:t xml:space="preserve">）★采购清单汇总表</w:t>
            </w:r>
            <w:r/>
          </w:p>
          <w:p>
            <w:pPr>
              <w:jc w:val="center"/>
              <w:widowControl/>
              <w:rPr>
                <w:rFonts w:hint="eastAsia" w:ascii="宋体" w:hAnsi="宋体" w:cs="宋体"/>
                <w:b/>
                <w:bCs/>
                <w:color w:val="auto"/>
                <w:sz w:val="36"/>
                <w:szCs w:val="36"/>
                <w:highlight w:val="none"/>
              </w:rPr>
            </w:pPr>
            <w:r>
              <w:rPr>
                <w:rFonts w:hint="eastAsia" w:ascii="宋体" w:hAnsi="宋体" w:cs="宋体"/>
                <w:b/>
                <w:bCs/>
                <w:color w:val="auto"/>
                <w:sz w:val="32"/>
                <w:szCs w:val="32"/>
                <w:highlight w:val="none"/>
                <w:lang w:val="zh-CN" w:bidi="ar"/>
              </w:rPr>
              <w:t xml:space="preserve">2026年S122汤山段辅道日常养护</w:t>
            </w:r>
            <w:r>
              <w:rPr>
                <w:rFonts w:hint="eastAsia" w:ascii="宋体" w:hAnsi="宋体" w:cs="宋体"/>
                <w:b/>
                <w:bCs/>
                <w:color w:val="auto"/>
                <w:sz w:val="32"/>
                <w:szCs w:val="32"/>
                <w:highlight w:val="none"/>
                <w:lang w:bidi="ar"/>
              </w:rPr>
              <w:t xml:space="preserve">服务</w:t>
            </w:r>
            <w:r/>
          </w:p>
        </w:tc>
      </w:tr>
      <w:tr>
        <w:trPr>
          <w:trHeight w:val="500"/>
        </w:trPr>
        <w:tc>
          <w:tcPr>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center"/>
              <w:widowControl/>
              <w:rPr>
                <w:rFonts w:hint="eastAsia" w:ascii="宋体" w:hAnsi="宋体" w:cs="宋体"/>
                <w:b/>
                <w:bCs/>
                <w:color w:val="auto"/>
                <w:sz w:val="32"/>
                <w:szCs w:val="32"/>
                <w:highlight w:val="none"/>
              </w:rPr>
            </w:pPr>
            <w:r>
              <w:rPr>
                <w:rFonts w:ascii="黑体" w:eastAsia="黑体"/>
                <w:color w:val="auto"/>
                <w:sz w:val="32"/>
                <w:szCs w:val="32"/>
                <w:highlight w:val="none"/>
              </w:rPr>
              <w:br w:type="page" w:clear="all"/>
            </w:r>
            <w:r>
              <w:rPr>
                <w:rFonts w:hint="eastAsia" w:ascii="宋体" w:hAnsi="宋体"/>
                <w:b/>
                <w:bCs/>
                <w:color w:val="auto"/>
                <w:sz w:val="32"/>
                <w:szCs w:val="32"/>
                <w:highlight w:val="none"/>
              </w:rPr>
              <w:t xml:space="preserve">采购</w:t>
            </w:r>
            <w:r>
              <w:rPr>
                <w:rFonts w:hint="eastAsia" w:ascii="宋体" w:hAnsi="宋体" w:cs="宋体"/>
                <w:b/>
                <w:bCs/>
                <w:color w:val="auto"/>
                <w:sz w:val="32"/>
                <w:szCs w:val="32"/>
                <w:highlight w:val="none"/>
                <w:lang w:bidi="ar"/>
              </w:rPr>
              <w:t xml:space="preserve">清单汇总表</w:t>
            </w:r>
            <w:r/>
          </w:p>
        </w:tc>
      </w:tr>
    </w:tbl>
    <w:p>
      <w:pPr>
        <w:pStyle w:val="845"/>
        <w:rPr>
          <w:rFonts w:hint="eastAsia"/>
          <w:color w:val="auto"/>
          <w:highlight w:val="none"/>
        </w:rPr>
      </w:pPr>
      <w:r>
        <w:rPr>
          <w:rFonts w:hint="eastAsia"/>
          <w:color w:val="auto"/>
          <w:highlight w:val="none"/>
        </w:rPr>
      </w:r>
      <w:r/>
    </w:p>
    <w:tbl>
      <w:tblPr>
        <w:tblStyle w:val="816"/>
        <w:tblW w:w="8980" w:type="dxa"/>
        <w:tblInd w:w="108" w:type="dxa"/>
        <w:tblLayout w:type="autofit"/>
        <w:tblCellMar>
          <w:left w:w="108" w:type="dxa"/>
          <w:top w:w="0" w:type="dxa"/>
          <w:right w:w="108" w:type="dxa"/>
          <w:bottom w:w="0" w:type="dxa"/>
        </w:tblCellMar>
        <w:tblLook w:val="04A0" w:firstRow="1" w:lastRow="0" w:firstColumn="1" w:lastColumn="0" w:noHBand="0" w:noVBand="1"/>
      </w:tblPr>
      <w:tblGrid>
        <w:gridCol w:w="1708"/>
        <w:gridCol w:w="1023"/>
        <w:gridCol w:w="2739"/>
        <w:gridCol w:w="1297"/>
        <w:gridCol w:w="2213"/>
      </w:tblGrid>
      <w:tr>
        <w:trPr>
          <w:trHeight w:val="501"/>
        </w:trPr>
        <w:tc>
          <w:tcPr>
            <w:tcBorders>
              <w:top w:val="none" w:color="000000" w:sz="4" w:space="0"/>
              <w:left w:val="none" w:color="000000" w:sz="4" w:space="0"/>
              <w:bottom w:val="single" w:color="auto" w:sz="4" w:space="0"/>
              <w:right w:val="none" w:color="000000" w:sz="4" w:space="0"/>
            </w:tcBorders>
            <w:tcW w:w="1708" w:type="dxa"/>
            <w:vAlign w:val="center"/>
            <w:textDirection w:val="lrTb"/>
            <w:noWrap/>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none" w:color="000000" w:sz="4" w:space="0"/>
              <w:bottom w:val="none" w:color="000000" w:sz="4" w:space="0"/>
              <w:right w:val="none" w:color="000000" w:sz="4" w:space="0"/>
            </w:tcBorders>
            <w:tcW w:w="1023" w:type="dxa"/>
            <w:vAlign w:val="bottom"/>
            <w:textDirection w:val="lrTb"/>
            <w:noWrap/>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none" w:color="000000" w:sz="4" w:space="0"/>
              <w:bottom w:val="none" w:color="000000" w:sz="4" w:space="0"/>
              <w:right w:val="none" w:color="000000" w:sz="4" w:space="0"/>
            </w:tcBorders>
            <w:tcW w:w="2739" w:type="dxa"/>
            <w:vAlign w:val="bottom"/>
            <w:textDirection w:val="lrTb"/>
            <w:noWrap/>
          </w:tcPr>
          <w:p>
            <w:pPr>
              <w:jc w:val="left"/>
              <w:widowControl/>
              <w:rPr>
                <w:rFonts w:ascii="Times New Roman" w:hAnsi="Times New Roman" w:eastAsia="Times New Roman"/>
                <w:color w:val="auto"/>
                <w:sz w:val="20"/>
                <w:szCs w:val="20"/>
                <w:highlight w:val="none"/>
              </w:rPr>
            </w:pPr>
            <w:r>
              <w:rPr>
                <w:rFonts w:ascii="Times New Roman" w:hAnsi="Times New Roman" w:eastAsia="Times New Roman"/>
                <w:color w:val="auto"/>
                <w:sz w:val="20"/>
                <w:szCs w:val="20"/>
                <w:highlight w:val="none"/>
              </w:rPr>
            </w:r>
            <w:r/>
          </w:p>
        </w:tc>
        <w:tc>
          <w:tcPr>
            <w:gridSpan w:val="2"/>
            <w:tcBorders>
              <w:top w:val="none" w:color="000000" w:sz="4" w:space="0"/>
              <w:left w:val="none" w:color="000000" w:sz="4" w:space="0"/>
              <w:bottom w:val="none" w:color="000000" w:sz="4" w:space="0"/>
              <w:right w:val="none" w:color="000000" w:sz="4" w:space="0"/>
            </w:tcBorders>
            <w:tcW w:w="3510" w:type="dxa"/>
            <w:vAlign w:val="center"/>
            <w:textDirection w:val="lrTb"/>
            <w:noWrap/>
          </w:tcPr>
          <w:p>
            <w:pPr>
              <w:jc w:val="right"/>
              <w:widowControl/>
              <w:rPr>
                <w:rFonts w:ascii="Times New Roman" w:hAnsi="Times New Roman"/>
                <w:color w:val="auto"/>
                <w:sz w:val="20"/>
                <w:szCs w:val="20"/>
                <w:highlight w:val="none"/>
              </w:rPr>
            </w:pPr>
            <w:r>
              <w:rPr>
                <w:rFonts w:hint="eastAsia" w:ascii="宋体" w:hAnsi="宋体"/>
                <w:color w:val="auto"/>
                <w:sz w:val="20"/>
                <w:szCs w:val="20"/>
                <w:highlight w:val="none"/>
              </w:rPr>
              <w:t xml:space="preserve">货币单位：人民币元</w:t>
            </w:r>
            <w:r/>
          </w:p>
        </w:tc>
      </w:tr>
      <w:tr>
        <w:trPr>
          <w:trHeight w:val="501"/>
        </w:trPr>
        <w:tc>
          <w:tcPr>
            <w:tcBorders>
              <w:top w:val="none" w:color="000000" w:sz="4" w:space="0"/>
              <w:left w:val="single" w:color="auto" w:sz="4" w:space="0"/>
              <w:bottom w:val="single" w:color="auto" w:sz="4" w:space="0"/>
              <w:right w:val="single" w:color="auto" w:sz="4" w:space="0"/>
            </w:tcBorders>
            <w:tcW w:w="1708" w:type="dxa"/>
            <w:vAlign w:val="center"/>
            <w:textDirection w:val="lrTb"/>
            <w:noWrap/>
          </w:tcPr>
          <w:p>
            <w:pPr>
              <w:jc w:val="center"/>
              <w:widowControl/>
              <w:rPr>
                <w:rFonts w:ascii="Times New Roman" w:hAnsi="Times New Roman"/>
                <w:b/>
                <w:bCs/>
                <w:color w:val="auto"/>
                <w:sz w:val="20"/>
                <w:szCs w:val="20"/>
                <w:highlight w:val="none"/>
              </w:rPr>
            </w:pPr>
            <w:r>
              <w:rPr>
                <w:rFonts w:hint="eastAsia" w:ascii="宋体" w:hAnsi="宋体"/>
                <w:b/>
                <w:bCs/>
                <w:color w:val="auto"/>
                <w:sz w:val="20"/>
                <w:szCs w:val="20"/>
                <w:highlight w:val="none"/>
              </w:rPr>
              <w:t xml:space="preserve">序号</w:t>
            </w:r>
            <w:r/>
          </w:p>
        </w:tc>
        <w:tc>
          <w:tcPr>
            <w:tcBorders>
              <w:top w:val="single" w:color="auto" w:sz="4" w:space="0"/>
              <w:left w:val="none" w:color="000000" w:sz="4" w:space="0"/>
              <w:bottom w:val="single" w:color="auto" w:sz="4" w:space="0"/>
              <w:right w:val="single" w:color="auto" w:sz="4" w:space="0"/>
            </w:tcBorders>
            <w:tcW w:w="1023" w:type="dxa"/>
            <w:vAlign w:val="center"/>
            <w:textDirection w:val="lrTb"/>
            <w:noWrap/>
          </w:tcPr>
          <w:p>
            <w:pPr>
              <w:jc w:val="center"/>
              <w:widowControl/>
              <w:rPr>
                <w:rFonts w:ascii="Times New Roman" w:hAnsi="Times New Roman"/>
                <w:b/>
                <w:bCs/>
                <w:color w:val="auto"/>
                <w:sz w:val="20"/>
                <w:szCs w:val="20"/>
                <w:highlight w:val="none"/>
              </w:rPr>
            </w:pPr>
            <w:r>
              <w:rPr>
                <w:rFonts w:hint="eastAsia" w:ascii="宋体" w:hAnsi="宋体"/>
                <w:b/>
                <w:bCs/>
                <w:color w:val="auto"/>
                <w:sz w:val="20"/>
                <w:szCs w:val="20"/>
                <w:highlight w:val="none"/>
              </w:rPr>
              <w:t xml:space="preserve">章次</w:t>
            </w:r>
            <w:r/>
          </w:p>
        </w:tc>
        <w:tc>
          <w:tcPr>
            <w:gridSpan w:val="2"/>
            <w:tcBorders>
              <w:top w:val="single" w:color="auto" w:sz="4" w:space="0"/>
              <w:left w:val="none" w:color="000000" w:sz="4" w:space="0"/>
              <w:bottom w:val="single" w:color="auto" w:sz="4" w:space="0"/>
              <w:right w:val="single" w:color="auto" w:sz="4" w:space="0"/>
            </w:tcBorders>
            <w:tcW w:w="4036" w:type="dxa"/>
            <w:vAlign w:val="center"/>
            <w:textDirection w:val="lrTb"/>
            <w:noWrap/>
          </w:tcPr>
          <w:p>
            <w:pPr>
              <w:jc w:val="center"/>
              <w:widowControl/>
              <w:rPr>
                <w:rFonts w:ascii="Times New Roman" w:hAnsi="Times New Roman"/>
                <w:b/>
                <w:bCs/>
                <w:color w:val="auto"/>
                <w:sz w:val="20"/>
                <w:szCs w:val="20"/>
                <w:highlight w:val="none"/>
              </w:rPr>
            </w:pPr>
            <w:r>
              <w:rPr>
                <w:rFonts w:hint="eastAsia" w:ascii="宋体" w:hAnsi="宋体"/>
                <w:b/>
                <w:bCs/>
                <w:color w:val="auto"/>
                <w:sz w:val="20"/>
                <w:szCs w:val="20"/>
                <w:highlight w:val="none"/>
              </w:rPr>
              <w:t xml:space="preserve">科目名称</w:t>
            </w:r>
            <w:r/>
          </w:p>
        </w:tc>
        <w:tc>
          <w:tcPr>
            <w:tcBorders>
              <w:top w:val="single" w:color="auto" w:sz="4" w:space="0"/>
              <w:left w:val="none" w:color="000000" w:sz="4" w:space="0"/>
              <w:bottom w:val="single" w:color="auto" w:sz="4" w:space="0"/>
              <w:right w:val="single" w:color="auto" w:sz="4" w:space="0"/>
            </w:tcBorders>
            <w:tcW w:w="2213" w:type="dxa"/>
            <w:vAlign w:val="center"/>
            <w:textDirection w:val="lrTb"/>
            <w:noWrap/>
          </w:tcPr>
          <w:p>
            <w:pPr>
              <w:jc w:val="center"/>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rPr>
              <w:t xml:space="preserve">经费（元）</w:t>
            </w:r>
            <w:r/>
          </w:p>
        </w:tc>
      </w:tr>
      <w:tr>
        <w:trPr>
          <w:trHeight w:val="501"/>
        </w:trPr>
        <w:tc>
          <w:tcPr>
            <w:tcBorders>
              <w:top w:val="none" w:color="000000" w:sz="4" w:space="0"/>
              <w:left w:val="single" w:color="auto" w:sz="4" w:space="0"/>
              <w:bottom w:val="single" w:color="000000" w:sz="4" w:space="0"/>
              <w:right w:val="single" w:color="auto" w:sz="4" w:space="0"/>
            </w:tcBorders>
            <w:tcW w:w="1708" w:type="dxa"/>
            <w:vAlign w:val="center"/>
            <w:vMerge w:val="restart"/>
            <w:textDirection w:val="lrTb"/>
            <w:noWrap/>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100-1</w:t>
            </w:r>
            <w:r/>
          </w:p>
        </w:tc>
        <w:tc>
          <w:tcPr>
            <w:tcBorders>
              <w:top w:val="none" w:color="000000" w:sz="4" w:space="0"/>
              <w:left w:val="single" w:color="auto" w:sz="4" w:space="0"/>
              <w:bottom w:val="single" w:color="auto" w:sz="4" w:space="0"/>
              <w:right w:val="single" w:color="auto" w:sz="4" w:space="0"/>
            </w:tcBorders>
            <w:tcW w:w="2739" w:type="dxa"/>
            <w:vAlign w:val="center"/>
            <w:vMerge w:val="restart"/>
            <w:textDirection w:val="lrTb"/>
            <w:noWrap w:val="false"/>
          </w:tcPr>
          <w:p>
            <w:pPr>
              <w:jc w:val="center"/>
              <w:widowControl/>
              <w:rPr>
                <w:rFonts w:ascii="Times New Roman" w:hAnsi="Times New Roman"/>
                <w:color w:val="auto"/>
                <w:sz w:val="20"/>
                <w:szCs w:val="20"/>
                <w:highlight w:val="none"/>
              </w:rPr>
            </w:pPr>
            <w:r>
              <w:rPr>
                <w:rFonts w:hint="eastAsia" w:ascii="宋体" w:hAnsi="宋体"/>
                <w:color w:val="auto"/>
                <w:sz w:val="20"/>
                <w:szCs w:val="20"/>
                <w:highlight w:val="none"/>
              </w:rPr>
              <w:t xml:space="preserve">总则</w:t>
            </w:r>
            <w:r/>
          </w:p>
        </w:tc>
        <w:tc>
          <w:tcPr>
            <w:tcBorders>
              <w:top w:val="none" w:color="000000" w:sz="4" w:space="0"/>
              <w:left w:val="none" w:color="000000" w:sz="4" w:space="0"/>
              <w:bottom w:val="single" w:color="auto" w:sz="4" w:space="0"/>
              <w:right w:val="single" w:color="auto" w:sz="4" w:space="0"/>
            </w:tcBorders>
            <w:tcW w:w="1297" w:type="dxa"/>
            <w:vAlign w:val="center"/>
            <w:textDirection w:val="lrTb"/>
            <w:noWrap/>
          </w:tcPr>
          <w:p>
            <w:pPr>
              <w:jc w:val="center"/>
              <w:widowControl/>
              <w:rPr>
                <w:rFonts w:ascii="Times New Roman" w:hAnsi="Times New Roman"/>
                <w:color w:val="auto"/>
                <w:sz w:val="20"/>
                <w:szCs w:val="20"/>
                <w:highlight w:val="none"/>
              </w:rPr>
            </w:pPr>
            <w:r>
              <w:rPr>
                <w:rFonts w:hint="eastAsia" w:ascii="宋体" w:hAnsi="宋体"/>
                <w:color w:val="auto"/>
                <w:sz w:val="20"/>
                <w:szCs w:val="20"/>
                <w:highlight w:val="none"/>
              </w:rPr>
              <w:t xml:space="preserve">基价类</w:t>
            </w:r>
            <w:r/>
          </w:p>
        </w:tc>
        <w:tc>
          <w:tcPr>
            <w:tcBorders>
              <w:top w:val="none" w:color="000000" w:sz="4" w:space="0"/>
              <w:left w:val="none" w:color="000000" w:sz="4" w:space="0"/>
              <w:bottom w:val="single" w:color="auto" w:sz="4" w:space="0"/>
              <w:right w:val="single" w:color="auto" w:sz="4" w:space="0"/>
            </w:tcBorders>
            <w:tcW w:w="2213" w:type="dxa"/>
            <w:vAlign w:val="center"/>
            <w:textDirection w:val="lrTb"/>
            <w:noWrap/>
          </w:tcPr>
          <w:p>
            <w:pPr>
              <w:jc w:val="right"/>
              <w:widowControl/>
              <w:rPr>
                <w:rFonts w:ascii="Times New Roman" w:hAnsi="Times New Roman"/>
                <w:b/>
                <w:bCs/>
                <w:color w:val="auto"/>
                <w:sz w:val="22"/>
                <w:highlight w:val="none"/>
              </w:rPr>
            </w:pPr>
            <w:r>
              <w:rPr>
                <w:rFonts w:ascii="Times New Roman" w:hAnsi="Times New Roman"/>
                <w:b/>
                <w:bCs/>
                <w:color w:val="auto"/>
                <w:sz w:val="22"/>
                <w:highlight w:val="none"/>
              </w:rPr>
            </w:r>
            <w:r/>
          </w:p>
        </w:tc>
      </w:tr>
      <w:tr>
        <w:trPr>
          <w:trHeight w:val="501"/>
        </w:trPr>
        <w:tc>
          <w:tcPr>
            <w:tcBorders>
              <w:top w:val="none" w:color="000000" w:sz="4" w:space="0"/>
              <w:left w:val="single" w:color="auto" w:sz="4" w:space="0"/>
              <w:bottom w:val="single" w:color="000000" w:sz="4" w:space="0"/>
              <w:right w:val="single" w:color="auto" w:sz="4" w:space="0"/>
            </w:tcBorders>
            <w:tcW w:w="1708" w:type="dxa"/>
            <w:vAlign w:val="center"/>
            <w:vMerge w:val="continue"/>
            <w:textDirection w:val="lrTb"/>
            <w:noWrap w:val="false"/>
          </w:tcPr>
          <w:p>
            <w:pPr>
              <w:jc w:val="left"/>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100-2</w:t>
            </w:r>
            <w:r/>
          </w:p>
        </w:tc>
        <w:tc>
          <w:tcPr>
            <w:tcBorders>
              <w:top w:val="none" w:color="000000" w:sz="4" w:space="0"/>
              <w:left w:val="single" w:color="auto" w:sz="4" w:space="0"/>
              <w:bottom w:val="single" w:color="auto" w:sz="4" w:space="0"/>
              <w:right w:val="single" w:color="auto" w:sz="4" w:space="0"/>
            </w:tcBorders>
            <w:tcW w:w="2739" w:type="dxa"/>
            <w:vAlign w:val="center"/>
            <w:vMerge w:val="continue"/>
            <w:textDirection w:val="lrTb"/>
            <w:noWrap w:val="false"/>
          </w:tcPr>
          <w:p>
            <w:pPr>
              <w:jc w:val="left"/>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1297" w:type="dxa"/>
            <w:vAlign w:val="center"/>
            <w:textDirection w:val="lrTb"/>
            <w:noWrap/>
          </w:tcPr>
          <w:p>
            <w:pPr>
              <w:jc w:val="center"/>
              <w:widowControl/>
              <w:rPr>
                <w:rFonts w:ascii="Times New Roman" w:hAnsi="Times New Roman"/>
                <w:color w:val="auto"/>
                <w:sz w:val="20"/>
                <w:szCs w:val="20"/>
                <w:highlight w:val="none"/>
              </w:rPr>
            </w:pPr>
            <w:r>
              <w:rPr>
                <w:rFonts w:hint="eastAsia" w:ascii="宋体" w:hAnsi="宋体"/>
                <w:color w:val="auto"/>
                <w:sz w:val="20"/>
                <w:szCs w:val="20"/>
                <w:highlight w:val="none"/>
              </w:rPr>
              <w:t xml:space="preserve">单价类</w:t>
            </w:r>
            <w:r/>
          </w:p>
        </w:tc>
        <w:tc>
          <w:tcPr>
            <w:tcBorders>
              <w:top w:val="none" w:color="000000" w:sz="4" w:space="0"/>
              <w:left w:val="none" w:color="000000" w:sz="4" w:space="0"/>
              <w:bottom w:val="single" w:color="auto" w:sz="4" w:space="0"/>
              <w:right w:val="single" w:color="auto" w:sz="4" w:space="0"/>
            </w:tcBorders>
            <w:tcW w:w="2213" w:type="dxa"/>
            <w:vAlign w:val="center"/>
            <w:textDirection w:val="lrTb"/>
            <w:noWrap/>
          </w:tcPr>
          <w:p>
            <w:pPr>
              <w:jc w:val="right"/>
              <w:widowControl/>
              <w:rPr>
                <w:rFonts w:ascii="Times New Roman" w:hAnsi="Times New Roman"/>
                <w:b/>
                <w:bCs/>
                <w:color w:val="auto"/>
                <w:sz w:val="22"/>
                <w:highlight w:val="none"/>
              </w:rPr>
            </w:pPr>
            <w:r>
              <w:rPr>
                <w:rFonts w:ascii="Times New Roman" w:hAnsi="Times New Roman"/>
                <w:b/>
                <w:bCs/>
                <w:color w:val="auto"/>
                <w:sz w:val="22"/>
                <w:highlight w:val="none"/>
              </w:rPr>
            </w:r>
            <w:r/>
          </w:p>
        </w:tc>
      </w:tr>
      <w:tr>
        <w:trPr>
          <w:trHeight w:val="501"/>
        </w:trPr>
        <w:tc>
          <w:tcPr>
            <w:tcBorders>
              <w:top w:val="none" w:color="000000" w:sz="4" w:space="0"/>
              <w:left w:val="single" w:color="auto" w:sz="4" w:space="0"/>
              <w:bottom w:val="single" w:color="000000" w:sz="4" w:space="0"/>
              <w:right w:val="single" w:color="auto" w:sz="4" w:space="0"/>
            </w:tcBorders>
            <w:tcW w:w="1708" w:type="dxa"/>
            <w:vAlign w:val="center"/>
            <w:vMerge w:val="restart"/>
            <w:textDirection w:val="lrTb"/>
            <w:noWrap/>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2</w:t>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200-1</w:t>
            </w:r>
            <w:r/>
          </w:p>
        </w:tc>
        <w:tc>
          <w:tcPr>
            <w:tcBorders>
              <w:top w:val="none" w:color="000000" w:sz="4" w:space="0"/>
              <w:left w:val="single" w:color="auto" w:sz="4" w:space="0"/>
              <w:bottom w:val="single" w:color="000000" w:sz="4" w:space="0"/>
              <w:right w:val="single" w:color="auto" w:sz="4" w:space="0"/>
            </w:tcBorders>
            <w:tcW w:w="2739" w:type="dxa"/>
            <w:vAlign w:val="center"/>
            <w:vMerge w:val="restart"/>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S122</w:t>
            </w:r>
            <w:r>
              <w:rPr>
                <w:rFonts w:hint="eastAsia" w:ascii="宋体" w:hAnsi="宋体"/>
                <w:color w:val="auto"/>
                <w:sz w:val="20"/>
                <w:szCs w:val="20"/>
                <w:highlight w:val="none"/>
              </w:rPr>
              <w:t xml:space="preserve">辅道（汤山段）</w:t>
            </w:r>
            <w:r>
              <w:rPr>
                <w:rFonts w:ascii="Times New Roman" w:hAnsi="Times New Roman"/>
                <w:color w:val="auto"/>
                <w:sz w:val="20"/>
                <w:szCs w:val="20"/>
                <w:highlight w:val="none"/>
              </w:rPr>
              <w:t xml:space="preserve">       </w:t>
            </w:r>
            <w:r>
              <w:rPr>
                <w:rFonts w:hint="eastAsia" w:ascii="宋体" w:hAnsi="宋体"/>
                <w:color w:val="auto"/>
                <w:sz w:val="20"/>
                <w:szCs w:val="20"/>
                <w:highlight w:val="none"/>
              </w:rPr>
              <w:t xml:space="preserve">日常养护路基服务</w:t>
            </w:r>
            <w:r/>
          </w:p>
        </w:tc>
        <w:tc>
          <w:tcPr>
            <w:tcBorders>
              <w:top w:val="none" w:color="000000" w:sz="4" w:space="0"/>
              <w:left w:val="none" w:color="000000" w:sz="4" w:space="0"/>
              <w:bottom w:val="single" w:color="auto" w:sz="4" w:space="0"/>
              <w:right w:val="single" w:color="auto" w:sz="4" w:space="0"/>
            </w:tcBorders>
            <w:tcW w:w="1297" w:type="dxa"/>
            <w:vAlign w:val="center"/>
            <w:textDirection w:val="lrTb"/>
            <w:noWrap/>
          </w:tcPr>
          <w:p>
            <w:pPr>
              <w:jc w:val="center"/>
              <w:widowControl/>
              <w:rPr>
                <w:rFonts w:ascii="Times New Roman" w:hAnsi="Times New Roman"/>
                <w:color w:val="auto"/>
                <w:sz w:val="20"/>
                <w:szCs w:val="20"/>
                <w:highlight w:val="none"/>
              </w:rPr>
            </w:pPr>
            <w:r>
              <w:rPr>
                <w:rFonts w:hint="eastAsia" w:ascii="宋体" w:hAnsi="宋体"/>
                <w:color w:val="auto"/>
                <w:sz w:val="20"/>
                <w:szCs w:val="20"/>
                <w:highlight w:val="none"/>
              </w:rPr>
              <w:t xml:space="preserve">基价类</w:t>
            </w:r>
            <w:r/>
          </w:p>
        </w:tc>
        <w:tc>
          <w:tcPr>
            <w:tcBorders>
              <w:top w:val="none" w:color="000000" w:sz="4" w:space="0"/>
              <w:left w:val="none" w:color="000000" w:sz="4" w:space="0"/>
              <w:bottom w:val="single" w:color="auto" w:sz="4" w:space="0"/>
              <w:right w:val="single" w:color="auto" w:sz="4" w:space="0"/>
            </w:tcBorders>
            <w:tcW w:w="2213" w:type="dxa"/>
            <w:vAlign w:val="center"/>
            <w:textDirection w:val="lrTb"/>
            <w:noWrap/>
          </w:tcPr>
          <w:p>
            <w:pPr>
              <w:jc w:val="right"/>
              <w:widowControl/>
              <w:rPr>
                <w:rFonts w:ascii="Times New Roman" w:hAnsi="Times New Roman"/>
                <w:b/>
                <w:bCs/>
                <w:color w:val="auto"/>
                <w:sz w:val="22"/>
                <w:highlight w:val="none"/>
              </w:rPr>
            </w:pPr>
            <w:r>
              <w:rPr>
                <w:rFonts w:ascii="Times New Roman" w:hAnsi="Times New Roman"/>
                <w:b/>
                <w:bCs/>
                <w:color w:val="auto"/>
                <w:sz w:val="22"/>
                <w:highlight w:val="none"/>
              </w:rPr>
            </w:r>
            <w:r/>
          </w:p>
        </w:tc>
      </w:tr>
      <w:tr>
        <w:trPr>
          <w:trHeight w:val="501"/>
        </w:trPr>
        <w:tc>
          <w:tcPr>
            <w:tcBorders>
              <w:top w:val="none" w:color="000000" w:sz="4" w:space="0"/>
              <w:left w:val="single" w:color="auto" w:sz="4" w:space="0"/>
              <w:bottom w:val="single" w:color="000000" w:sz="4" w:space="0"/>
              <w:right w:val="single" w:color="auto" w:sz="4" w:space="0"/>
            </w:tcBorders>
            <w:tcW w:w="1708" w:type="dxa"/>
            <w:vAlign w:val="center"/>
            <w:vMerge w:val="continue"/>
            <w:textDirection w:val="lrTb"/>
            <w:noWrap w:val="false"/>
          </w:tcPr>
          <w:p>
            <w:pPr>
              <w:jc w:val="left"/>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200-2</w:t>
            </w:r>
            <w:r/>
          </w:p>
        </w:tc>
        <w:tc>
          <w:tcPr>
            <w:tcBorders>
              <w:top w:val="none" w:color="000000" w:sz="4" w:space="0"/>
              <w:left w:val="single" w:color="auto" w:sz="4" w:space="0"/>
              <w:bottom w:val="single" w:color="000000" w:sz="4" w:space="0"/>
              <w:right w:val="single" w:color="auto" w:sz="4" w:space="0"/>
            </w:tcBorders>
            <w:tcW w:w="2739" w:type="dxa"/>
            <w:vAlign w:val="center"/>
            <w:vMerge w:val="continue"/>
            <w:textDirection w:val="lrTb"/>
            <w:noWrap w:val="false"/>
          </w:tcPr>
          <w:p>
            <w:pPr>
              <w:jc w:val="left"/>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297"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单价类</w:t>
            </w:r>
            <w:r/>
          </w:p>
        </w:tc>
        <w:tc>
          <w:tcPr>
            <w:shd w:val="clear" w:color="000000" w:fill="ffffff"/>
            <w:tcBorders>
              <w:top w:val="none" w:color="000000" w:sz="4" w:space="0"/>
              <w:left w:val="none" w:color="000000" w:sz="4" w:space="0"/>
              <w:bottom w:val="single" w:color="auto" w:sz="4" w:space="0"/>
              <w:right w:val="single" w:color="auto" w:sz="4" w:space="0"/>
            </w:tcBorders>
            <w:tcW w:w="2213" w:type="dxa"/>
            <w:vAlign w:val="center"/>
            <w:textDirection w:val="lrTb"/>
            <w:noWrap/>
          </w:tcPr>
          <w:p>
            <w:pPr>
              <w:jc w:val="right"/>
              <w:widowControl/>
              <w:rPr>
                <w:rFonts w:ascii="Times New Roman" w:hAnsi="Times New Roman"/>
                <w:b/>
                <w:bCs/>
                <w:color w:val="auto"/>
                <w:sz w:val="22"/>
                <w:highlight w:val="none"/>
              </w:rPr>
            </w:pPr>
            <w:r>
              <w:rPr>
                <w:rFonts w:ascii="Times New Roman" w:hAnsi="Times New Roman"/>
                <w:b/>
                <w:bCs/>
                <w:color w:val="auto"/>
                <w:sz w:val="22"/>
                <w:highlight w:val="none"/>
              </w:rPr>
            </w:r>
            <w:r/>
          </w:p>
        </w:tc>
      </w:tr>
      <w:tr>
        <w:trPr>
          <w:trHeight w:val="501"/>
        </w:trPr>
        <w:tc>
          <w:tcPr>
            <w:tcBorders>
              <w:top w:val="none" w:color="000000" w:sz="4" w:space="0"/>
              <w:left w:val="single" w:color="auto" w:sz="4" w:space="0"/>
              <w:bottom w:val="single" w:color="000000" w:sz="4" w:space="0"/>
              <w:right w:val="single" w:color="auto" w:sz="4" w:space="0"/>
            </w:tcBorders>
            <w:tcW w:w="1708" w:type="dxa"/>
            <w:vAlign w:val="center"/>
            <w:vMerge w:val="restart"/>
            <w:textDirection w:val="lrTb"/>
            <w:noWrap/>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3</w:t>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300-1</w:t>
            </w:r>
            <w:r/>
          </w:p>
        </w:tc>
        <w:tc>
          <w:tcPr>
            <w:tcBorders>
              <w:top w:val="none" w:color="000000" w:sz="4" w:space="0"/>
              <w:left w:val="single" w:color="auto" w:sz="4" w:space="0"/>
              <w:bottom w:val="single" w:color="000000" w:sz="4" w:space="0"/>
              <w:right w:val="single" w:color="auto" w:sz="4" w:space="0"/>
            </w:tcBorders>
            <w:tcW w:w="2739" w:type="dxa"/>
            <w:vAlign w:val="center"/>
            <w:vMerge w:val="restart"/>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S122</w:t>
            </w:r>
            <w:r>
              <w:rPr>
                <w:rFonts w:hint="eastAsia" w:ascii="宋体" w:hAnsi="宋体"/>
                <w:color w:val="auto"/>
                <w:sz w:val="20"/>
                <w:szCs w:val="20"/>
                <w:highlight w:val="none"/>
              </w:rPr>
              <w:t xml:space="preserve">辅道（汤山段）</w:t>
            </w:r>
            <w:r>
              <w:rPr>
                <w:rFonts w:ascii="Times New Roman" w:hAnsi="Times New Roman"/>
                <w:color w:val="auto"/>
                <w:sz w:val="20"/>
                <w:szCs w:val="20"/>
                <w:highlight w:val="none"/>
              </w:rPr>
              <w:t xml:space="preserve">          </w:t>
            </w:r>
            <w:r>
              <w:rPr>
                <w:rFonts w:hint="eastAsia" w:ascii="宋体" w:hAnsi="宋体"/>
                <w:color w:val="auto"/>
                <w:sz w:val="20"/>
                <w:szCs w:val="20"/>
                <w:highlight w:val="none"/>
              </w:rPr>
              <w:t xml:space="preserve">日常养护路面服务</w:t>
            </w:r>
            <w:r/>
          </w:p>
        </w:tc>
        <w:tc>
          <w:tcPr>
            <w:tcBorders>
              <w:top w:val="none" w:color="000000" w:sz="4" w:space="0"/>
              <w:left w:val="none" w:color="000000" w:sz="4" w:space="0"/>
              <w:bottom w:val="single" w:color="auto" w:sz="4" w:space="0"/>
              <w:right w:val="single" w:color="auto" w:sz="4" w:space="0"/>
            </w:tcBorders>
            <w:tcW w:w="1297" w:type="dxa"/>
            <w:vAlign w:val="center"/>
            <w:textDirection w:val="lrTb"/>
            <w:noWrap/>
          </w:tcPr>
          <w:p>
            <w:pPr>
              <w:jc w:val="center"/>
              <w:widowControl/>
              <w:rPr>
                <w:rFonts w:ascii="Times New Roman" w:hAnsi="Times New Roman"/>
                <w:color w:val="auto"/>
                <w:sz w:val="20"/>
                <w:szCs w:val="20"/>
                <w:highlight w:val="none"/>
              </w:rPr>
            </w:pPr>
            <w:r>
              <w:rPr>
                <w:rFonts w:hint="eastAsia" w:ascii="宋体" w:hAnsi="宋体"/>
                <w:color w:val="auto"/>
                <w:sz w:val="20"/>
                <w:szCs w:val="20"/>
                <w:highlight w:val="none"/>
              </w:rPr>
              <w:t xml:space="preserve">基价类</w:t>
            </w:r>
            <w:r/>
          </w:p>
        </w:tc>
        <w:tc>
          <w:tcPr>
            <w:shd w:val="clear" w:color="000000" w:fill="ffffff"/>
            <w:tcBorders>
              <w:top w:val="none" w:color="000000" w:sz="4" w:space="0"/>
              <w:left w:val="none" w:color="000000" w:sz="4" w:space="0"/>
              <w:bottom w:val="single" w:color="auto" w:sz="4" w:space="0"/>
              <w:right w:val="single" w:color="auto" w:sz="4" w:space="0"/>
            </w:tcBorders>
            <w:tcW w:w="2213" w:type="dxa"/>
            <w:vAlign w:val="center"/>
            <w:textDirection w:val="lrTb"/>
            <w:noWrap/>
          </w:tcPr>
          <w:p>
            <w:pPr>
              <w:jc w:val="right"/>
              <w:widowControl/>
              <w:rPr>
                <w:rFonts w:ascii="Times New Roman" w:hAnsi="Times New Roman"/>
                <w:b/>
                <w:bCs/>
                <w:color w:val="auto"/>
                <w:sz w:val="22"/>
                <w:highlight w:val="none"/>
              </w:rPr>
            </w:pPr>
            <w:r>
              <w:rPr>
                <w:rFonts w:ascii="Times New Roman" w:hAnsi="Times New Roman"/>
                <w:b/>
                <w:bCs/>
                <w:color w:val="auto"/>
                <w:sz w:val="22"/>
                <w:highlight w:val="none"/>
              </w:rPr>
            </w:r>
            <w:r/>
          </w:p>
        </w:tc>
      </w:tr>
      <w:tr>
        <w:trPr>
          <w:trHeight w:val="501"/>
        </w:trPr>
        <w:tc>
          <w:tcPr>
            <w:tcBorders>
              <w:top w:val="none" w:color="000000" w:sz="4" w:space="0"/>
              <w:left w:val="single" w:color="auto" w:sz="4" w:space="0"/>
              <w:bottom w:val="single" w:color="000000" w:sz="4" w:space="0"/>
              <w:right w:val="single" w:color="auto" w:sz="4" w:space="0"/>
            </w:tcBorders>
            <w:tcW w:w="1708" w:type="dxa"/>
            <w:vAlign w:val="center"/>
            <w:vMerge w:val="continue"/>
            <w:textDirection w:val="lrTb"/>
            <w:noWrap w:val="false"/>
          </w:tcPr>
          <w:p>
            <w:pPr>
              <w:jc w:val="left"/>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300-2</w:t>
            </w:r>
            <w:r/>
          </w:p>
        </w:tc>
        <w:tc>
          <w:tcPr>
            <w:tcBorders>
              <w:top w:val="none" w:color="000000" w:sz="4" w:space="0"/>
              <w:left w:val="single" w:color="auto" w:sz="4" w:space="0"/>
              <w:bottom w:val="single" w:color="000000" w:sz="4" w:space="0"/>
              <w:right w:val="single" w:color="auto" w:sz="4" w:space="0"/>
            </w:tcBorders>
            <w:tcW w:w="2739" w:type="dxa"/>
            <w:vAlign w:val="center"/>
            <w:vMerge w:val="continue"/>
            <w:textDirection w:val="lrTb"/>
            <w:noWrap w:val="false"/>
          </w:tcPr>
          <w:p>
            <w:pPr>
              <w:jc w:val="left"/>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297"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单价类</w:t>
            </w:r>
            <w:r/>
          </w:p>
        </w:tc>
        <w:tc>
          <w:tcPr>
            <w:shd w:val="clear" w:color="000000" w:fill="ffffff"/>
            <w:tcBorders>
              <w:top w:val="none" w:color="000000" w:sz="4" w:space="0"/>
              <w:left w:val="none" w:color="000000" w:sz="4" w:space="0"/>
              <w:bottom w:val="single" w:color="auto" w:sz="4" w:space="0"/>
              <w:right w:val="single" w:color="auto" w:sz="4" w:space="0"/>
            </w:tcBorders>
            <w:tcW w:w="2213" w:type="dxa"/>
            <w:vAlign w:val="center"/>
            <w:textDirection w:val="lrTb"/>
            <w:noWrap/>
          </w:tcPr>
          <w:p>
            <w:pPr>
              <w:jc w:val="right"/>
              <w:widowControl/>
              <w:rPr>
                <w:rFonts w:ascii="Times New Roman" w:hAnsi="Times New Roman"/>
                <w:b/>
                <w:bCs/>
                <w:color w:val="auto"/>
                <w:sz w:val="22"/>
                <w:highlight w:val="none"/>
              </w:rPr>
            </w:pPr>
            <w:r>
              <w:rPr>
                <w:rFonts w:ascii="Times New Roman" w:hAnsi="Times New Roman"/>
                <w:b/>
                <w:bCs/>
                <w:color w:val="auto"/>
                <w:sz w:val="22"/>
                <w:highlight w:val="none"/>
              </w:rPr>
            </w:r>
            <w:r/>
          </w:p>
        </w:tc>
      </w:tr>
      <w:tr>
        <w:trPr>
          <w:trHeight w:val="501"/>
        </w:trPr>
        <w:tc>
          <w:tcPr>
            <w:tcBorders>
              <w:top w:val="none" w:color="000000" w:sz="4" w:space="0"/>
              <w:left w:val="single" w:color="auto" w:sz="4" w:space="0"/>
              <w:bottom w:val="single" w:color="000000" w:sz="4" w:space="0"/>
              <w:right w:val="single" w:color="auto" w:sz="4" w:space="0"/>
            </w:tcBorders>
            <w:tcW w:w="1708" w:type="dxa"/>
            <w:vAlign w:val="center"/>
            <w:vMerge w:val="restart"/>
            <w:textDirection w:val="lrTb"/>
            <w:noWrap/>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4</w:t>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400-1</w:t>
            </w:r>
            <w:r/>
          </w:p>
        </w:tc>
        <w:tc>
          <w:tcPr>
            <w:tcBorders>
              <w:top w:val="none" w:color="000000" w:sz="4" w:space="0"/>
              <w:left w:val="single" w:color="auto" w:sz="4" w:space="0"/>
              <w:bottom w:val="single" w:color="000000" w:sz="4" w:space="0"/>
              <w:right w:val="single" w:color="auto" w:sz="4" w:space="0"/>
            </w:tcBorders>
            <w:tcW w:w="2739" w:type="dxa"/>
            <w:vAlign w:val="center"/>
            <w:vMerge w:val="restart"/>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S122</w:t>
            </w:r>
            <w:r>
              <w:rPr>
                <w:rFonts w:hint="eastAsia" w:ascii="宋体" w:hAnsi="宋体"/>
                <w:color w:val="auto"/>
                <w:sz w:val="20"/>
                <w:szCs w:val="20"/>
                <w:highlight w:val="none"/>
              </w:rPr>
              <w:t xml:space="preserve">辅道（汤山段）</w:t>
            </w:r>
            <w:r>
              <w:rPr>
                <w:rFonts w:ascii="Times New Roman" w:hAnsi="Times New Roman"/>
                <w:color w:val="auto"/>
                <w:sz w:val="20"/>
                <w:szCs w:val="20"/>
                <w:highlight w:val="none"/>
              </w:rPr>
              <w:t xml:space="preserve">       </w:t>
            </w:r>
            <w:r>
              <w:rPr>
                <w:rFonts w:hint="eastAsia" w:ascii="宋体" w:hAnsi="宋体"/>
                <w:color w:val="auto"/>
                <w:sz w:val="20"/>
                <w:szCs w:val="20"/>
                <w:highlight w:val="none"/>
              </w:rPr>
              <w:t xml:space="preserve">日常养护桥梁、涵洞服务</w:t>
            </w:r>
            <w:r/>
          </w:p>
        </w:tc>
        <w:tc>
          <w:tcPr>
            <w:tcBorders>
              <w:top w:val="none" w:color="000000" w:sz="4" w:space="0"/>
              <w:left w:val="none" w:color="000000" w:sz="4" w:space="0"/>
              <w:bottom w:val="single" w:color="auto" w:sz="4" w:space="0"/>
              <w:right w:val="single" w:color="auto" w:sz="4" w:space="0"/>
            </w:tcBorders>
            <w:tcW w:w="1297" w:type="dxa"/>
            <w:vAlign w:val="center"/>
            <w:textDirection w:val="lrTb"/>
            <w:noWrap/>
          </w:tcPr>
          <w:p>
            <w:pPr>
              <w:jc w:val="center"/>
              <w:widowControl/>
              <w:rPr>
                <w:rFonts w:ascii="Times New Roman" w:hAnsi="Times New Roman"/>
                <w:color w:val="auto"/>
                <w:sz w:val="20"/>
                <w:szCs w:val="20"/>
                <w:highlight w:val="none"/>
              </w:rPr>
            </w:pPr>
            <w:r>
              <w:rPr>
                <w:rFonts w:hint="eastAsia" w:ascii="宋体" w:hAnsi="宋体"/>
                <w:color w:val="auto"/>
                <w:sz w:val="20"/>
                <w:szCs w:val="20"/>
                <w:highlight w:val="none"/>
              </w:rPr>
              <w:t xml:space="preserve">基价类</w:t>
            </w:r>
            <w:r/>
          </w:p>
        </w:tc>
        <w:tc>
          <w:tcPr>
            <w:shd w:val="clear" w:color="000000" w:fill="ffffff"/>
            <w:tcBorders>
              <w:top w:val="none" w:color="000000" w:sz="4" w:space="0"/>
              <w:left w:val="none" w:color="000000" w:sz="4" w:space="0"/>
              <w:bottom w:val="single" w:color="auto" w:sz="4" w:space="0"/>
              <w:right w:val="single" w:color="auto" w:sz="4" w:space="0"/>
            </w:tcBorders>
            <w:tcW w:w="2213" w:type="dxa"/>
            <w:vAlign w:val="center"/>
            <w:textDirection w:val="lrTb"/>
            <w:noWrap/>
          </w:tcPr>
          <w:p>
            <w:pPr>
              <w:jc w:val="right"/>
              <w:widowControl/>
              <w:rPr>
                <w:rFonts w:ascii="Times New Roman" w:hAnsi="Times New Roman"/>
                <w:b/>
                <w:bCs/>
                <w:color w:val="auto"/>
                <w:sz w:val="22"/>
                <w:highlight w:val="none"/>
              </w:rPr>
            </w:pPr>
            <w:r>
              <w:rPr>
                <w:rFonts w:ascii="Times New Roman" w:hAnsi="Times New Roman"/>
                <w:b/>
                <w:bCs/>
                <w:color w:val="auto"/>
                <w:sz w:val="22"/>
                <w:highlight w:val="none"/>
              </w:rPr>
            </w:r>
            <w:r/>
          </w:p>
        </w:tc>
      </w:tr>
      <w:tr>
        <w:trPr>
          <w:trHeight w:val="501"/>
        </w:trPr>
        <w:tc>
          <w:tcPr>
            <w:tcBorders>
              <w:top w:val="none" w:color="000000" w:sz="4" w:space="0"/>
              <w:left w:val="single" w:color="auto" w:sz="4" w:space="0"/>
              <w:bottom w:val="single" w:color="000000" w:sz="4" w:space="0"/>
              <w:right w:val="single" w:color="auto" w:sz="4" w:space="0"/>
            </w:tcBorders>
            <w:tcW w:w="1708" w:type="dxa"/>
            <w:vAlign w:val="center"/>
            <w:vMerge w:val="continue"/>
            <w:textDirection w:val="lrTb"/>
            <w:noWrap w:val="false"/>
          </w:tcPr>
          <w:p>
            <w:pPr>
              <w:jc w:val="left"/>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400-2</w:t>
            </w:r>
            <w:r/>
          </w:p>
        </w:tc>
        <w:tc>
          <w:tcPr>
            <w:tcBorders>
              <w:top w:val="none" w:color="000000" w:sz="4" w:space="0"/>
              <w:left w:val="single" w:color="auto" w:sz="4" w:space="0"/>
              <w:bottom w:val="single" w:color="000000" w:sz="4" w:space="0"/>
              <w:right w:val="single" w:color="auto" w:sz="4" w:space="0"/>
            </w:tcBorders>
            <w:tcW w:w="2739" w:type="dxa"/>
            <w:vAlign w:val="center"/>
            <w:vMerge w:val="continue"/>
            <w:textDirection w:val="lrTb"/>
            <w:noWrap w:val="false"/>
          </w:tcPr>
          <w:p>
            <w:pPr>
              <w:jc w:val="left"/>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297"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单价类</w:t>
            </w:r>
            <w:r/>
          </w:p>
        </w:tc>
        <w:tc>
          <w:tcPr>
            <w:shd w:val="clear" w:color="000000" w:fill="ffffff"/>
            <w:tcBorders>
              <w:top w:val="none" w:color="000000" w:sz="4" w:space="0"/>
              <w:left w:val="none" w:color="000000" w:sz="4" w:space="0"/>
              <w:bottom w:val="single" w:color="auto" w:sz="4" w:space="0"/>
              <w:right w:val="single" w:color="auto" w:sz="4" w:space="0"/>
            </w:tcBorders>
            <w:tcW w:w="2213" w:type="dxa"/>
            <w:vAlign w:val="center"/>
            <w:textDirection w:val="lrTb"/>
            <w:noWrap/>
          </w:tcPr>
          <w:p>
            <w:pPr>
              <w:jc w:val="right"/>
              <w:widowControl/>
              <w:rPr>
                <w:rFonts w:ascii="Times New Roman" w:hAnsi="Times New Roman"/>
                <w:b/>
                <w:bCs/>
                <w:color w:val="auto"/>
                <w:sz w:val="22"/>
                <w:highlight w:val="none"/>
              </w:rPr>
            </w:pPr>
            <w:r>
              <w:rPr>
                <w:rFonts w:ascii="Times New Roman" w:hAnsi="Times New Roman"/>
                <w:b/>
                <w:bCs/>
                <w:color w:val="auto"/>
                <w:sz w:val="22"/>
                <w:highlight w:val="none"/>
              </w:rPr>
            </w:r>
            <w:r/>
          </w:p>
        </w:tc>
      </w:tr>
      <w:tr>
        <w:trPr>
          <w:trHeight w:val="501"/>
        </w:trPr>
        <w:tc>
          <w:tcPr>
            <w:tcBorders>
              <w:top w:val="none" w:color="000000" w:sz="4" w:space="0"/>
              <w:left w:val="single" w:color="auto" w:sz="4" w:space="0"/>
              <w:bottom w:val="single" w:color="000000" w:sz="4" w:space="0"/>
              <w:right w:val="single" w:color="auto" w:sz="4" w:space="0"/>
            </w:tcBorders>
            <w:tcW w:w="1708" w:type="dxa"/>
            <w:vAlign w:val="center"/>
            <w:vMerge w:val="restart"/>
            <w:textDirection w:val="lrTb"/>
            <w:noWrap/>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5</w:t>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500-1</w:t>
            </w:r>
            <w:r/>
          </w:p>
        </w:tc>
        <w:tc>
          <w:tcPr>
            <w:tcBorders>
              <w:top w:val="none" w:color="000000" w:sz="4" w:space="0"/>
              <w:left w:val="single" w:color="auto" w:sz="4" w:space="0"/>
              <w:bottom w:val="single" w:color="000000" w:sz="4" w:space="0"/>
              <w:right w:val="single" w:color="auto" w:sz="4" w:space="0"/>
            </w:tcBorders>
            <w:tcW w:w="2739" w:type="dxa"/>
            <w:vAlign w:val="center"/>
            <w:vMerge w:val="restart"/>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S122</w:t>
            </w:r>
            <w:r>
              <w:rPr>
                <w:rFonts w:hint="eastAsia" w:ascii="宋体" w:hAnsi="宋体"/>
                <w:color w:val="auto"/>
                <w:sz w:val="20"/>
                <w:szCs w:val="20"/>
                <w:highlight w:val="none"/>
              </w:rPr>
              <w:t xml:space="preserve">辅道（汤山段）</w:t>
            </w:r>
            <w:r>
              <w:rPr>
                <w:rFonts w:ascii="Times New Roman" w:hAnsi="Times New Roman"/>
                <w:color w:val="auto"/>
                <w:sz w:val="20"/>
                <w:szCs w:val="20"/>
                <w:highlight w:val="none"/>
              </w:rPr>
              <w:t xml:space="preserve">                                  </w:t>
            </w:r>
            <w:r>
              <w:rPr>
                <w:rFonts w:hint="eastAsia" w:ascii="宋体" w:hAnsi="宋体"/>
                <w:color w:val="auto"/>
                <w:sz w:val="20"/>
                <w:szCs w:val="20"/>
                <w:highlight w:val="none"/>
              </w:rPr>
              <w:t xml:space="preserve">日常养护</w:t>
            </w:r>
            <w:r>
              <w:rPr>
                <w:rFonts w:ascii="Times New Roman" w:hAnsi="Times New Roman"/>
                <w:color w:val="auto"/>
                <w:sz w:val="20"/>
                <w:szCs w:val="20"/>
                <w:highlight w:val="none"/>
              </w:rPr>
              <w:t xml:space="preserve"> </w:t>
            </w:r>
            <w:r>
              <w:rPr>
                <w:rFonts w:hint="eastAsia" w:ascii="宋体" w:hAnsi="宋体"/>
                <w:color w:val="auto"/>
                <w:sz w:val="20"/>
                <w:szCs w:val="20"/>
                <w:highlight w:val="none"/>
              </w:rPr>
              <w:t xml:space="preserve">安全设施</w:t>
            </w:r>
            <w:r>
              <w:rPr>
                <w:rFonts w:ascii="Times New Roman" w:hAnsi="Times New Roman"/>
                <w:color w:val="auto"/>
                <w:sz w:val="20"/>
                <w:szCs w:val="20"/>
                <w:highlight w:val="none"/>
              </w:rPr>
              <w:t xml:space="preserve">            </w:t>
            </w:r>
            <w:r>
              <w:rPr>
                <w:rFonts w:hint="eastAsia" w:ascii="宋体" w:hAnsi="宋体"/>
                <w:color w:val="auto"/>
                <w:sz w:val="20"/>
                <w:szCs w:val="20"/>
                <w:highlight w:val="none"/>
              </w:rPr>
              <w:t xml:space="preserve">及预埋管线服务</w:t>
            </w:r>
            <w:r/>
          </w:p>
        </w:tc>
        <w:tc>
          <w:tcPr>
            <w:tcBorders>
              <w:top w:val="none" w:color="000000" w:sz="4" w:space="0"/>
              <w:left w:val="none" w:color="000000" w:sz="4" w:space="0"/>
              <w:bottom w:val="single" w:color="auto" w:sz="4" w:space="0"/>
              <w:right w:val="single" w:color="auto" w:sz="4" w:space="0"/>
            </w:tcBorders>
            <w:tcW w:w="1297" w:type="dxa"/>
            <w:vAlign w:val="center"/>
            <w:textDirection w:val="lrTb"/>
            <w:noWrap/>
          </w:tcPr>
          <w:p>
            <w:pPr>
              <w:jc w:val="center"/>
              <w:widowControl/>
              <w:rPr>
                <w:rFonts w:ascii="Times New Roman" w:hAnsi="Times New Roman"/>
                <w:color w:val="auto"/>
                <w:sz w:val="20"/>
                <w:szCs w:val="20"/>
                <w:highlight w:val="none"/>
              </w:rPr>
            </w:pPr>
            <w:r>
              <w:rPr>
                <w:rFonts w:hint="eastAsia" w:ascii="宋体" w:hAnsi="宋体"/>
                <w:color w:val="auto"/>
                <w:sz w:val="20"/>
                <w:szCs w:val="20"/>
                <w:highlight w:val="none"/>
              </w:rPr>
              <w:t xml:space="preserve">基价类</w:t>
            </w:r>
            <w:r/>
          </w:p>
        </w:tc>
        <w:tc>
          <w:tcPr>
            <w:shd w:val="clear" w:color="000000" w:fill="ffffff"/>
            <w:tcBorders>
              <w:top w:val="none" w:color="000000" w:sz="4" w:space="0"/>
              <w:left w:val="none" w:color="000000" w:sz="4" w:space="0"/>
              <w:bottom w:val="single" w:color="auto" w:sz="4" w:space="0"/>
              <w:right w:val="single" w:color="auto" w:sz="4" w:space="0"/>
            </w:tcBorders>
            <w:tcW w:w="2213" w:type="dxa"/>
            <w:vAlign w:val="center"/>
            <w:textDirection w:val="lrTb"/>
            <w:noWrap/>
          </w:tcPr>
          <w:p>
            <w:pPr>
              <w:jc w:val="right"/>
              <w:widowControl/>
              <w:rPr>
                <w:rFonts w:ascii="Times New Roman" w:hAnsi="Times New Roman"/>
                <w:b/>
                <w:bCs/>
                <w:color w:val="auto"/>
                <w:sz w:val="22"/>
                <w:highlight w:val="none"/>
              </w:rPr>
            </w:pPr>
            <w:r>
              <w:rPr>
                <w:rFonts w:ascii="Times New Roman" w:hAnsi="Times New Roman"/>
                <w:b/>
                <w:bCs/>
                <w:color w:val="auto"/>
                <w:sz w:val="22"/>
                <w:highlight w:val="none"/>
              </w:rPr>
            </w:r>
            <w:r/>
          </w:p>
        </w:tc>
      </w:tr>
      <w:tr>
        <w:trPr>
          <w:trHeight w:val="501"/>
        </w:trPr>
        <w:tc>
          <w:tcPr>
            <w:tcBorders>
              <w:top w:val="none" w:color="000000" w:sz="4" w:space="0"/>
              <w:left w:val="single" w:color="auto" w:sz="4" w:space="0"/>
              <w:bottom w:val="single" w:color="000000" w:sz="4" w:space="0"/>
              <w:right w:val="single" w:color="auto" w:sz="4" w:space="0"/>
            </w:tcBorders>
            <w:tcW w:w="1708" w:type="dxa"/>
            <w:vAlign w:val="center"/>
            <w:vMerge w:val="continue"/>
            <w:textDirection w:val="lrTb"/>
            <w:noWrap w:val="false"/>
          </w:tcPr>
          <w:p>
            <w:pPr>
              <w:jc w:val="left"/>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500-2</w:t>
            </w:r>
            <w:r/>
          </w:p>
        </w:tc>
        <w:tc>
          <w:tcPr>
            <w:tcBorders>
              <w:top w:val="none" w:color="000000" w:sz="4" w:space="0"/>
              <w:left w:val="single" w:color="auto" w:sz="4" w:space="0"/>
              <w:bottom w:val="single" w:color="000000" w:sz="4" w:space="0"/>
              <w:right w:val="single" w:color="auto" w:sz="4" w:space="0"/>
            </w:tcBorders>
            <w:tcW w:w="2739" w:type="dxa"/>
            <w:vAlign w:val="center"/>
            <w:vMerge w:val="continue"/>
            <w:textDirection w:val="lrTb"/>
            <w:noWrap w:val="false"/>
          </w:tcPr>
          <w:p>
            <w:pPr>
              <w:jc w:val="left"/>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297"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单价类</w:t>
            </w:r>
            <w:r/>
          </w:p>
        </w:tc>
        <w:tc>
          <w:tcPr>
            <w:shd w:val="clear" w:color="000000" w:fill="ffffff"/>
            <w:tcBorders>
              <w:top w:val="none" w:color="000000" w:sz="4" w:space="0"/>
              <w:left w:val="none" w:color="000000" w:sz="4" w:space="0"/>
              <w:bottom w:val="single" w:color="auto" w:sz="4" w:space="0"/>
              <w:right w:val="single" w:color="auto" w:sz="4" w:space="0"/>
            </w:tcBorders>
            <w:tcW w:w="2213" w:type="dxa"/>
            <w:vAlign w:val="center"/>
            <w:textDirection w:val="lrTb"/>
            <w:noWrap/>
          </w:tcPr>
          <w:p>
            <w:pPr>
              <w:jc w:val="right"/>
              <w:widowControl/>
              <w:rPr>
                <w:rFonts w:ascii="Times New Roman" w:hAnsi="Times New Roman"/>
                <w:b/>
                <w:bCs/>
                <w:color w:val="auto"/>
                <w:sz w:val="22"/>
                <w:highlight w:val="none"/>
              </w:rPr>
            </w:pPr>
            <w:r>
              <w:rPr>
                <w:rFonts w:ascii="Times New Roman" w:hAnsi="Times New Roman"/>
                <w:b/>
                <w:bCs/>
                <w:color w:val="auto"/>
                <w:sz w:val="22"/>
                <w:highlight w:val="none"/>
              </w:rPr>
            </w:r>
            <w:r/>
          </w:p>
        </w:tc>
      </w:tr>
      <w:tr>
        <w:trPr>
          <w:trHeight w:val="501"/>
        </w:trPr>
        <w:tc>
          <w:tcPr>
            <w:tcBorders>
              <w:top w:val="none" w:color="000000" w:sz="4" w:space="0"/>
              <w:left w:val="single" w:color="auto" w:sz="4" w:space="0"/>
              <w:bottom w:val="single" w:color="000000" w:sz="4" w:space="0"/>
              <w:right w:val="single" w:color="auto" w:sz="4" w:space="0"/>
            </w:tcBorders>
            <w:tcW w:w="1708" w:type="dxa"/>
            <w:vAlign w:val="center"/>
            <w:vMerge w:val="restart"/>
            <w:textDirection w:val="lrTb"/>
            <w:noWrap/>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6</w:t>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600-1</w:t>
            </w:r>
            <w:r/>
          </w:p>
        </w:tc>
        <w:tc>
          <w:tcPr>
            <w:tcBorders>
              <w:top w:val="none" w:color="000000" w:sz="4" w:space="0"/>
              <w:left w:val="single" w:color="auto" w:sz="4" w:space="0"/>
              <w:bottom w:val="single" w:color="000000" w:sz="4" w:space="0"/>
              <w:right w:val="single" w:color="auto" w:sz="4" w:space="0"/>
            </w:tcBorders>
            <w:tcW w:w="2739" w:type="dxa"/>
            <w:vAlign w:val="center"/>
            <w:vMerge w:val="restart"/>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S122</w:t>
            </w:r>
            <w:r>
              <w:rPr>
                <w:rFonts w:hint="eastAsia" w:ascii="宋体" w:hAnsi="宋体"/>
                <w:color w:val="auto"/>
                <w:sz w:val="20"/>
                <w:szCs w:val="20"/>
                <w:highlight w:val="none"/>
              </w:rPr>
              <w:t xml:space="preserve">辅道（汤山段）</w:t>
            </w:r>
            <w:r>
              <w:rPr>
                <w:rFonts w:ascii="Times New Roman" w:hAnsi="Times New Roman"/>
                <w:color w:val="auto"/>
                <w:sz w:val="20"/>
                <w:szCs w:val="20"/>
                <w:highlight w:val="none"/>
              </w:rPr>
              <w:t xml:space="preserve">             </w:t>
            </w:r>
            <w:r>
              <w:rPr>
                <w:rFonts w:hint="eastAsia" w:ascii="宋体" w:hAnsi="宋体"/>
                <w:color w:val="auto"/>
                <w:sz w:val="20"/>
                <w:szCs w:val="20"/>
                <w:highlight w:val="none"/>
              </w:rPr>
              <w:t xml:space="preserve">日常养护</w:t>
            </w:r>
            <w:r>
              <w:rPr>
                <w:rFonts w:ascii="Times New Roman" w:hAnsi="Times New Roman"/>
                <w:color w:val="auto"/>
                <w:sz w:val="20"/>
                <w:szCs w:val="20"/>
                <w:highlight w:val="none"/>
              </w:rPr>
              <w:t xml:space="preserve"> </w:t>
            </w:r>
            <w:r>
              <w:rPr>
                <w:rFonts w:hint="eastAsia" w:ascii="宋体" w:hAnsi="宋体"/>
                <w:color w:val="auto"/>
                <w:sz w:val="20"/>
                <w:szCs w:val="20"/>
                <w:highlight w:val="none"/>
              </w:rPr>
              <w:t xml:space="preserve">绿化</w:t>
            </w:r>
            <w:r>
              <w:rPr>
                <w:rFonts w:ascii="Times New Roman" w:hAnsi="Times New Roman"/>
                <w:color w:val="auto"/>
                <w:sz w:val="20"/>
                <w:szCs w:val="20"/>
                <w:highlight w:val="none"/>
              </w:rPr>
              <w:t xml:space="preserve">                      </w:t>
            </w:r>
            <w:r>
              <w:rPr>
                <w:rFonts w:hint="eastAsia" w:ascii="宋体" w:hAnsi="宋体"/>
                <w:color w:val="auto"/>
                <w:sz w:val="20"/>
                <w:szCs w:val="20"/>
                <w:highlight w:val="none"/>
              </w:rPr>
              <w:t xml:space="preserve">及环境保护服务</w:t>
            </w:r>
            <w:r/>
          </w:p>
        </w:tc>
        <w:tc>
          <w:tcPr>
            <w:tcBorders>
              <w:top w:val="none" w:color="000000" w:sz="4" w:space="0"/>
              <w:left w:val="none" w:color="000000" w:sz="4" w:space="0"/>
              <w:bottom w:val="single" w:color="auto" w:sz="4" w:space="0"/>
              <w:right w:val="single" w:color="auto" w:sz="4" w:space="0"/>
            </w:tcBorders>
            <w:tcW w:w="1297" w:type="dxa"/>
            <w:vAlign w:val="center"/>
            <w:textDirection w:val="lrTb"/>
            <w:noWrap/>
          </w:tcPr>
          <w:p>
            <w:pPr>
              <w:jc w:val="center"/>
              <w:widowControl/>
              <w:rPr>
                <w:rFonts w:ascii="Times New Roman" w:hAnsi="Times New Roman"/>
                <w:color w:val="auto"/>
                <w:sz w:val="20"/>
                <w:szCs w:val="20"/>
                <w:highlight w:val="none"/>
              </w:rPr>
            </w:pPr>
            <w:r>
              <w:rPr>
                <w:rFonts w:hint="eastAsia" w:ascii="宋体" w:hAnsi="宋体"/>
                <w:color w:val="auto"/>
                <w:sz w:val="20"/>
                <w:szCs w:val="20"/>
                <w:highlight w:val="none"/>
              </w:rPr>
              <w:t xml:space="preserve">基价类</w:t>
            </w:r>
            <w:r/>
          </w:p>
        </w:tc>
        <w:tc>
          <w:tcPr>
            <w:shd w:val="clear" w:color="000000" w:fill="ffffff"/>
            <w:tcBorders>
              <w:top w:val="none" w:color="000000" w:sz="4" w:space="0"/>
              <w:left w:val="none" w:color="000000" w:sz="4" w:space="0"/>
              <w:bottom w:val="single" w:color="auto" w:sz="4" w:space="0"/>
              <w:right w:val="single" w:color="auto" w:sz="4" w:space="0"/>
            </w:tcBorders>
            <w:tcW w:w="2213" w:type="dxa"/>
            <w:vAlign w:val="center"/>
            <w:textDirection w:val="lrTb"/>
            <w:noWrap/>
          </w:tcPr>
          <w:p>
            <w:pPr>
              <w:jc w:val="right"/>
              <w:widowControl/>
              <w:rPr>
                <w:rFonts w:ascii="Times New Roman" w:hAnsi="Times New Roman"/>
                <w:b/>
                <w:bCs/>
                <w:color w:val="auto"/>
                <w:sz w:val="22"/>
                <w:highlight w:val="none"/>
              </w:rPr>
            </w:pPr>
            <w:r>
              <w:rPr>
                <w:rFonts w:ascii="Times New Roman" w:hAnsi="Times New Roman"/>
                <w:b/>
                <w:bCs/>
                <w:color w:val="auto"/>
                <w:sz w:val="22"/>
                <w:highlight w:val="none"/>
              </w:rPr>
            </w:r>
            <w:r/>
          </w:p>
        </w:tc>
      </w:tr>
      <w:tr>
        <w:trPr>
          <w:trHeight w:val="501"/>
        </w:trPr>
        <w:tc>
          <w:tcPr>
            <w:tcBorders>
              <w:top w:val="none" w:color="000000" w:sz="4" w:space="0"/>
              <w:left w:val="single" w:color="auto" w:sz="4" w:space="0"/>
              <w:bottom w:val="single" w:color="000000" w:sz="4" w:space="0"/>
              <w:right w:val="single" w:color="auto" w:sz="4" w:space="0"/>
            </w:tcBorders>
            <w:tcW w:w="1708" w:type="dxa"/>
            <w:vAlign w:val="center"/>
            <w:vMerge w:val="continue"/>
            <w:textDirection w:val="lrTb"/>
            <w:noWrap w:val="false"/>
          </w:tcPr>
          <w:p>
            <w:pPr>
              <w:jc w:val="left"/>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600-2</w:t>
            </w:r>
            <w:r/>
          </w:p>
        </w:tc>
        <w:tc>
          <w:tcPr>
            <w:tcBorders>
              <w:top w:val="none" w:color="000000" w:sz="4" w:space="0"/>
              <w:left w:val="single" w:color="auto" w:sz="4" w:space="0"/>
              <w:bottom w:val="single" w:color="000000" w:sz="4" w:space="0"/>
              <w:right w:val="single" w:color="auto" w:sz="4" w:space="0"/>
            </w:tcBorders>
            <w:tcW w:w="2739" w:type="dxa"/>
            <w:vAlign w:val="center"/>
            <w:vMerge w:val="continue"/>
            <w:textDirection w:val="lrTb"/>
            <w:noWrap w:val="false"/>
          </w:tcPr>
          <w:p>
            <w:pPr>
              <w:jc w:val="left"/>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297"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单价类</w:t>
            </w:r>
            <w:r/>
          </w:p>
        </w:tc>
        <w:tc>
          <w:tcPr>
            <w:shd w:val="clear" w:color="000000" w:fill="ffffff"/>
            <w:tcBorders>
              <w:top w:val="none" w:color="000000" w:sz="4" w:space="0"/>
              <w:left w:val="none" w:color="000000" w:sz="4" w:space="0"/>
              <w:bottom w:val="single" w:color="auto" w:sz="4" w:space="0"/>
              <w:right w:val="single" w:color="auto" w:sz="4" w:space="0"/>
            </w:tcBorders>
            <w:tcW w:w="2213" w:type="dxa"/>
            <w:vAlign w:val="center"/>
            <w:textDirection w:val="lrTb"/>
            <w:noWrap/>
          </w:tcPr>
          <w:p>
            <w:pPr>
              <w:jc w:val="right"/>
              <w:widowControl/>
              <w:rPr>
                <w:rFonts w:ascii="Times New Roman" w:hAnsi="Times New Roman"/>
                <w:b/>
                <w:bCs/>
                <w:color w:val="auto"/>
                <w:sz w:val="22"/>
                <w:highlight w:val="none"/>
              </w:rPr>
            </w:pPr>
            <w:r>
              <w:rPr>
                <w:rFonts w:ascii="Times New Roman" w:hAnsi="Times New Roman"/>
                <w:b/>
                <w:bCs/>
                <w:color w:val="auto"/>
                <w:sz w:val="22"/>
                <w:highlight w:val="none"/>
              </w:rPr>
            </w:r>
            <w:r/>
          </w:p>
        </w:tc>
      </w:tr>
      <w:tr>
        <w:trPr>
          <w:trHeight w:val="960"/>
        </w:trPr>
        <w:tc>
          <w:tcPr>
            <w:tcBorders>
              <w:top w:val="none" w:color="000000" w:sz="4" w:space="0"/>
              <w:left w:val="single" w:color="auto" w:sz="4" w:space="0"/>
              <w:bottom w:val="single" w:color="auto" w:sz="4" w:space="0"/>
              <w:right w:val="single" w:color="auto" w:sz="4" w:space="0"/>
            </w:tcBorders>
            <w:tcW w:w="1708" w:type="dxa"/>
            <w:vAlign w:val="center"/>
            <w:textDirection w:val="lrTb"/>
            <w:noWrap/>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7</w:t>
            </w:r>
            <w:r/>
          </w:p>
        </w:tc>
        <w:tc>
          <w:tcPr>
            <w:gridSpan w:val="3"/>
            <w:tcBorders>
              <w:top w:val="single" w:color="auto" w:sz="4" w:space="0"/>
              <w:left w:val="none" w:color="000000" w:sz="4" w:space="0"/>
              <w:bottom w:val="single" w:color="auto" w:sz="4" w:space="0"/>
              <w:right w:val="single" w:color="auto" w:sz="4" w:space="0"/>
            </w:tcBorders>
            <w:tcW w:w="5059"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第</w:t>
            </w:r>
            <w:r>
              <w:rPr>
                <w:rFonts w:ascii="Times New Roman" w:hAnsi="Times New Roman"/>
                <w:color w:val="auto"/>
                <w:sz w:val="20"/>
                <w:szCs w:val="20"/>
                <w:highlight w:val="none"/>
              </w:rPr>
              <w:t xml:space="preserve">100</w:t>
            </w:r>
            <w:r>
              <w:rPr>
                <w:rFonts w:hint="eastAsia" w:ascii="宋体" w:hAnsi="宋体" w:cs="宋体"/>
                <w:color w:val="auto"/>
                <w:sz w:val="20"/>
                <w:szCs w:val="20"/>
                <w:highlight w:val="none"/>
              </w:rPr>
              <w:t xml:space="preserve">章至</w:t>
            </w:r>
            <w:r>
              <w:rPr>
                <w:rFonts w:ascii="Times New Roman" w:hAnsi="Times New Roman"/>
                <w:color w:val="auto"/>
                <w:sz w:val="20"/>
                <w:szCs w:val="20"/>
                <w:highlight w:val="none"/>
              </w:rPr>
              <w:t xml:space="preserve">600</w:t>
            </w:r>
            <w:r>
              <w:rPr>
                <w:rFonts w:hint="eastAsia" w:ascii="宋体" w:hAnsi="宋体" w:cs="宋体"/>
                <w:color w:val="auto"/>
                <w:sz w:val="20"/>
                <w:szCs w:val="20"/>
                <w:highlight w:val="none"/>
              </w:rPr>
              <w:t xml:space="preserve">章清单小计</w:t>
            </w:r>
            <w:r/>
          </w:p>
        </w:tc>
        <w:tc>
          <w:tcPr>
            <w:tcBorders>
              <w:top w:val="none" w:color="000000" w:sz="4" w:space="0"/>
              <w:left w:val="none" w:color="000000" w:sz="4" w:space="0"/>
              <w:bottom w:val="single" w:color="auto" w:sz="4" w:space="0"/>
              <w:right w:val="single" w:color="auto" w:sz="4" w:space="0"/>
            </w:tcBorders>
            <w:tcW w:w="2213" w:type="dxa"/>
            <w:vAlign w:val="center"/>
            <w:textDirection w:val="lrTb"/>
            <w:noWrap/>
          </w:tcPr>
          <w:p>
            <w:pPr>
              <w:jc w:val="right"/>
              <w:widowControl/>
              <w:rPr>
                <w:rFonts w:ascii="Times New Roman" w:hAnsi="Times New Roman"/>
                <w:b/>
                <w:bCs/>
                <w:color w:val="auto"/>
                <w:sz w:val="22"/>
                <w:highlight w:val="none"/>
              </w:rPr>
            </w:pPr>
            <w:r>
              <w:rPr>
                <w:rFonts w:ascii="Times New Roman" w:hAnsi="Times New Roman"/>
                <w:b/>
                <w:bCs/>
                <w:color w:val="auto"/>
                <w:sz w:val="22"/>
                <w:highlight w:val="none"/>
              </w:rPr>
            </w:r>
            <w:r/>
          </w:p>
        </w:tc>
      </w:tr>
      <w:tr>
        <w:trPr>
          <w:trHeight w:val="1041"/>
        </w:trPr>
        <w:tc>
          <w:tcPr>
            <w:tcBorders>
              <w:top w:val="none" w:color="000000" w:sz="4" w:space="0"/>
              <w:left w:val="single" w:color="auto" w:sz="4" w:space="0"/>
              <w:bottom w:val="single" w:color="auto" w:sz="4" w:space="0"/>
              <w:right w:val="single" w:color="auto" w:sz="4" w:space="0"/>
            </w:tcBorders>
            <w:tcW w:w="1708" w:type="dxa"/>
            <w:vAlign w:val="center"/>
            <w:textDirection w:val="lrTb"/>
            <w:noWrap/>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8</w:t>
            </w:r>
            <w:r/>
          </w:p>
        </w:tc>
        <w:tc>
          <w:tcPr>
            <w:gridSpan w:val="3"/>
            <w:tcBorders>
              <w:top w:val="single" w:color="auto" w:sz="4" w:space="0"/>
              <w:left w:val="none" w:color="000000" w:sz="4" w:space="0"/>
              <w:bottom w:val="single" w:color="auto" w:sz="4" w:space="0"/>
              <w:right w:val="single" w:color="auto" w:sz="4" w:space="0"/>
            </w:tcBorders>
            <w:tcW w:w="5059"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安全生产费</w:t>
            </w:r>
            <w:r>
              <w:rPr>
                <w:rFonts w:ascii="Times New Roman" w:hAnsi="Times New Roman"/>
                <w:color w:val="auto"/>
                <w:sz w:val="20"/>
                <w:szCs w:val="20"/>
                <w:highlight w:val="none"/>
              </w:rPr>
              <w:t xml:space="preserve">[</w:t>
            </w:r>
            <w:r>
              <w:rPr>
                <w:rFonts w:hint="eastAsia" w:ascii="宋体" w:hAnsi="宋体" w:cs="宋体"/>
                <w:color w:val="auto"/>
                <w:sz w:val="20"/>
                <w:szCs w:val="20"/>
                <w:highlight w:val="none"/>
              </w:rPr>
              <w:t xml:space="preserve">最高投标限价的</w:t>
            </w:r>
            <w:r>
              <w:rPr>
                <w:rFonts w:ascii="Times New Roman" w:hAnsi="Times New Roman"/>
                <w:color w:val="auto"/>
                <w:sz w:val="20"/>
                <w:szCs w:val="20"/>
                <w:highlight w:val="none"/>
              </w:rPr>
              <w:t xml:space="preserve">1.5%]</w:t>
            </w:r>
            <w:r/>
          </w:p>
        </w:tc>
        <w:tc>
          <w:tcPr>
            <w:tcBorders>
              <w:top w:val="none" w:color="000000" w:sz="4" w:space="0"/>
              <w:left w:val="none" w:color="000000" w:sz="4" w:space="0"/>
              <w:bottom w:val="single" w:color="auto" w:sz="4" w:space="0"/>
              <w:right w:val="single" w:color="auto" w:sz="4" w:space="0"/>
            </w:tcBorders>
            <w:tcW w:w="2213" w:type="dxa"/>
            <w:vAlign w:val="center"/>
            <w:textDirection w:val="lrTb"/>
            <w:noWrap/>
          </w:tcPr>
          <w:p>
            <w:pPr>
              <w:jc w:val="right"/>
              <w:widowControl/>
              <w:rPr>
                <w:rFonts w:ascii="Times New Roman" w:hAnsi="Times New Roman"/>
                <w:b/>
                <w:bCs/>
                <w:color w:val="auto"/>
                <w:sz w:val="22"/>
                <w:highlight w:val="none"/>
              </w:rPr>
            </w:pPr>
            <w:r>
              <w:rPr>
                <w:rFonts w:ascii="Times New Roman" w:hAnsi="Times New Roman"/>
                <w:b/>
                <w:bCs/>
                <w:color w:val="auto"/>
                <w:sz w:val="22"/>
                <w:highlight w:val="none"/>
              </w:rPr>
              <w:t xml:space="preserve">105</w:t>
            </w:r>
            <w:r>
              <w:rPr>
                <w:rFonts w:hint="eastAsia" w:ascii="Times New Roman" w:hAnsi="Times New Roman"/>
                <w:b/>
                <w:bCs/>
                <w:color w:val="auto"/>
                <w:sz w:val="22"/>
                <w:highlight w:val="none"/>
              </w:rPr>
              <w:t xml:space="preserve">00</w:t>
            </w:r>
            <w:r>
              <w:rPr>
                <w:rFonts w:ascii="Times New Roman" w:hAnsi="Times New Roman"/>
                <w:b/>
                <w:bCs/>
                <w:color w:val="auto"/>
                <w:sz w:val="22"/>
                <w:highlight w:val="none"/>
              </w:rPr>
              <w:t xml:space="preserve">0.00 </w:t>
            </w:r>
            <w:r/>
          </w:p>
        </w:tc>
      </w:tr>
      <w:tr>
        <w:trPr>
          <w:trHeight w:val="960"/>
        </w:trPr>
        <w:tc>
          <w:tcPr>
            <w:tcBorders>
              <w:top w:val="none" w:color="000000" w:sz="4" w:space="0"/>
              <w:left w:val="single" w:color="auto" w:sz="4" w:space="0"/>
              <w:bottom w:val="single" w:color="auto" w:sz="4" w:space="0"/>
              <w:right w:val="single" w:color="auto" w:sz="4" w:space="0"/>
            </w:tcBorders>
            <w:tcW w:w="1708" w:type="dxa"/>
            <w:vAlign w:val="center"/>
            <w:textDirection w:val="lrTb"/>
            <w:noWrap/>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9</w:t>
            </w:r>
            <w:r/>
          </w:p>
        </w:tc>
        <w:tc>
          <w:tcPr>
            <w:gridSpan w:val="3"/>
            <w:tcBorders>
              <w:top w:val="single" w:color="auto" w:sz="4" w:space="0"/>
              <w:left w:val="none" w:color="000000" w:sz="4" w:space="0"/>
              <w:bottom w:val="single" w:color="auto" w:sz="4" w:space="0"/>
              <w:right w:val="single" w:color="auto" w:sz="4" w:space="0"/>
            </w:tcBorders>
            <w:tcW w:w="5059" w:type="dxa"/>
            <w:vAlign w:val="center"/>
            <w:textDirection w:val="lrTb"/>
            <w:noWrap/>
          </w:tcPr>
          <w:p>
            <w:pPr>
              <w:jc w:val="center"/>
              <w:widowControl/>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t xml:space="preserve">合计(7+8)</w:t>
            </w:r>
            <w:r/>
          </w:p>
        </w:tc>
        <w:tc>
          <w:tcPr>
            <w:tcBorders>
              <w:top w:val="none" w:color="000000" w:sz="4" w:space="0"/>
              <w:left w:val="none" w:color="000000" w:sz="4" w:space="0"/>
              <w:bottom w:val="single" w:color="auto" w:sz="4" w:space="0"/>
              <w:right w:val="single" w:color="auto" w:sz="4" w:space="0"/>
            </w:tcBorders>
            <w:tcW w:w="2213" w:type="dxa"/>
            <w:vAlign w:val="center"/>
            <w:textDirection w:val="lrTb"/>
            <w:noWrap/>
          </w:tcPr>
          <w:p>
            <w:pPr>
              <w:jc w:val="right"/>
              <w:widowControl/>
              <w:rPr>
                <w:rFonts w:ascii="Times New Roman" w:hAnsi="Times New Roman"/>
                <w:b/>
                <w:bCs/>
                <w:color w:val="auto"/>
                <w:sz w:val="22"/>
                <w:highlight w:val="none"/>
              </w:rPr>
            </w:pPr>
            <w:r>
              <w:rPr>
                <w:rFonts w:ascii="Times New Roman" w:hAnsi="Times New Roman"/>
                <w:b/>
                <w:bCs/>
                <w:color w:val="auto"/>
                <w:sz w:val="22"/>
                <w:highlight w:val="none"/>
              </w:rPr>
              <w:t xml:space="preserve"> </w:t>
            </w:r>
            <w:r/>
          </w:p>
        </w:tc>
      </w:tr>
    </w:tbl>
    <w:p>
      <w:pPr>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备注：1.“采购清单汇总表”中“投标报价”数额应当与“开标一览表”中“投标总报价”数额一致。</w:t>
      </w:r>
      <w:r/>
    </w:p>
    <w:p>
      <w:pPr>
        <w:numPr>
          <w:ilvl w:val="0"/>
          <w:numId w:val="0"/>
        </w:numPr>
        <w:ind w:left="0" w:firstLine="482"/>
        <w:rPr>
          <w:rFonts w:hint="eastAsia" w:ascii="宋体" w:hAnsi="宋体"/>
          <w:b/>
          <w:bCs/>
          <w:color w:val="auto"/>
          <w:sz w:val="24"/>
          <w:szCs w:val="24"/>
          <w:highlight w:val="none"/>
        </w:rPr>
      </w:pPr>
      <w:r>
        <w:rPr>
          <w:rFonts w:hint="eastAsia" w:ascii="宋体" w:hAnsi="宋体" w:cs="Times New Roman"/>
          <w:b/>
          <w:bCs/>
          <w:color w:val="auto"/>
          <w:sz w:val="24"/>
          <w:szCs w:val="24"/>
          <w:highlight w:val="none"/>
          <w:lang w:val="en-US" w:eastAsia="zh-CN" w:bidi="ar-SA"/>
        </w:rPr>
        <w:t xml:space="preserve">2</w:t>
      </w:r>
      <w:r>
        <w:rPr>
          <w:rFonts w:hint="eastAsia" w:ascii="宋体" w:hAnsi="宋体" w:eastAsia="宋体" w:cs="Times New Roman"/>
          <w:b/>
          <w:bCs/>
          <w:color w:val="auto"/>
          <w:sz w:val="24"/>
          <w:szCs w:val="24"/>
          <w:highlight w:val="none"/>
          <w:lang w:val="en-US" w:eastAsia="zh-CN" w:bidi="ar-SA"/>
        </w:rPr>
        <w:t xml:space="preserve">.</w:t>
      </w:r>
      <w:r>
        <w:rPr>
          <w:rFonts w:hint="eastAsia" w:ascii="宋体" w:hAnsi="宋体"/>
          <w:b/>
          <w:bCs/>
          <w:color w:val="auto"/>
          <w:sz w:val="24"/>
          <w:szCs w:val="24"/>
          <w:highlight w:val="none"/>
        </w:rPr>
        <w:t xml:space="preserve">安全生产费为固定价105000元，投标人不得调整该数值，否则作无效投标处理。</w:t>
      </w:r>
      <w:r/>
    </w:p>
    <w:p>
      <w:pPr>
        <w:ind w:firstLine="482"/>
        <w:rPr>
          <w:rFonts w:hint="eastAsia" w:ascii="宋体" w:hAnsi="宋体"/>
          <w:b/>
          <w:bCs/>
          <w:color w:val="auto"/>
          <w:sz w:val="24"/>
          <w:szCs w:val="24"/>
          <w:highlight w:val="none"/>
          <w:lang w:val="zh-CN"/>
        </w:rPr>
      </w:pPr>
      <w:r>
        <w:rPr>
          <w:rFonts w:hint="eastAsia" w:ascii="宋体" w:hAnsi="宋体"/>
          <w:b/>
          <w:bCs/>
          <w:color w:val="auto"/>
          <w:sz w:val="24"/>
          <w:szCs w:val="24"/>
          <w:highlight w:val="none"/>
          <w:lang w:val="en-US" w:eastAsia="zh-CN"/>
        </w:rPr>
        <w:t xml:space="preserve">3.</w:t>
      </w:r>
      <w:r>
        <w:rPr>
          <w:rFonts w:hint="eastAsia" w:ascii="宋体" w:hAnsi="宋体"/>
          <w:b/>
          <w:bCs/>
          <w:color w:val="auto"/>
          <w:sz w:val="24"/>
          <w:szCs w:val="24"/>
          <w:highlight w:val="none"/>
        </w:rPr>
        <w:t xml:space="preserve">供应商应按清单报价，且不得改变清单中的细目号、细目名称、计量单位、</w:t>
      </w:r>
      <w:r>
        <w:rPr>
          <w:rFonts w:hint="eastAsia" w:ascii="宋体" w:hAnsi="宋体"/>
          <w:b/>
          <w:bCs/>
          <w:color w:val="auto"/>
          <w:sz w:val="24"/>
          <w:szCs w:val="24"/>
          <w:highlight w:val="none"/>
          <w:lang w:val="en-US" w:eastAsia="zh-CN"/>
        </w:rPr>
        <w:t xml:space="preserve">数量</w:t>
      </w:r>
      <w:r>
        <w:rPr>
          <w:rFonts w:hint="eastAsia" w:ascii="宋体" w:hAnsi="宋体"/>
          <w:b/>
          <w:bCs/>
          <w:color w:val="auto"/>
          <w:sz w:val="24"/>
          <w:szCs w:val="24"/>
          <w:highlight w:val="none"/>
        </w:rPr>
        <w:t xml:space="preserve">；否则按无效响应处理。安全生产费不得优惠，改变上述金额按无效响应处理。</w:t>
      </w:r>
      <w:r/>
    </w:p>
    <w:p>
      <w:pPr>
        <w:pStyle w:val="807"/>
        <w:rPr>
          <w:rFonts w:hint="default"/>
          <w:color w:val="auto"/>
          <w:lang w:val="en-US" w:eastAsia="zh-CN"/>
        </w:rPr>
      </w:pPr>
      <w:r>
        <w:rPr>
          <w:rFonts w:hint="default"/>
          <w:color w:val="auto"/>
          <w:lang w:val="en-US" w:eastAsia="zh-CN"/>
        </w:rPr>
        <w:t xml:space="preserve">（三）★第100章 总则（基价类）</w:t>
      </w:r>
      <w:r/>
    </w:p>
    <w:p>
      <w:pPr>
        <w:rPr>
          <w:rFonts w:hint="eastAsia" w:ascii="宋体" w:hAnsi="宋体"/>
          <w:b/>
          <w:bCs/>
          <w:color w:val="auto"/>
          <w:sz w:val="24"/>
          <w:szCs w:val="24"/>
          <w:highlight w:val="none"/>
        </w:rPr>
      </w:pPr>
      <w:r>
        <w:rPr>
          <w:rFonts w:hint="eastAsia" w:ascii="宋体" w:hAnsi="宋体"/>
          <w:b/>
          <w:bCs/>
          <w:color w:val="auto"/>
          <w:sz w:val="24"/>
          <w:szCs w:val="24"/>
          <w:highlight w:val="none"/>
        </w:rPr>
      </w:r>
      <w:r/>
    </w:p>
    <w:tbl>
      <w:tblPr>
        <w:tblStyle w:val="816"/>
        <w:tblW w:w="8832" w:type="dxa"/>
        <w:tblInd w:w="96" w:type="dxa"/>
        <w:tblLayout w:type="autofit"/>
        <w:tblCellMar>
          <w:left w:w="108" w:type="dxa"/>
          <w:top w:w="0" w:type="dxa"/>
          <w:right w:w="108" w:type="dxa"/>
          <w:bottom w:w="0" w:type="dxa"/>
        </w:tblCellMar>
        <w:tblLook w:val="04A0" w:firstRow="1" w:lastRow="0" w:firstColumn="1" w:lastColumn="0" w:noHBand="0" w:noVBand="1"/>
      </w:tblPr>
      <w:tblGrid>
        <w:gridCol w:w="12"/>
        <w:gridCol w:w="1020"/>
        <w:gridCol w:w="3004"/>
        <w:gridCol w:w="877"/>
        <w:gridCol w:w="824"/>
        <w:gridCol w:w="1265"/>
        <w:gridCol w:w="1437"/>
        <w:gridCol w:w="393"/>
      </w:tblGrid>
      <w:tr>
        <w:trPr>
          <w:gridAfter w:val="1"/>
          <w:trHeight w:val="456"/>
        </w:trPr>
        <w:tc>
          <w:tcPr>
            <w:gridSpan w:val="7"/>
            <w:tcBorders>
              <w:top w:val="none" w:color="000000" w:sz="4" w:space="0"/>
              <w:left w:val="none" w:color="000000" w:sz="4" w:space="0"/>
              <w:bottom w:val="none" w:color="000000" w:sz="4" w:space="0"/>
              <w:right w:val="none" w:color="000000" w:sz="4" w:space="0"/>
            </w:tcBorders>
            <w:tcW w:w="8439" w:type="dxa"/>
            <w:vAlign w:val="center"/>
            <w:textDirection w:val="lrTb"/>
            <w:noWrap/>
          </w:tcPr>
          <w:p>
            <w:pPr>
              <w:pStyle w:val="845"/>
              <w:ind w:left="0" w:firstLine="0"/>
              <w:rPr>
                <w:rFonts w:hint="eastAsia"/>
                <w:color w:val="auto"/>
                <w:highlight w:val="none"/>
                <w:lang w:bidi="ar"/>
              </w:rPr>
            </w:pPr>
            <w:r>
              <w:rPr>
                <w:rFonts w:hint="eastAsia"/>
                <w:color w:val="auto"/>
                <w:highlight w:val="none"/>
                <w:lang w:bidi="ar"/>
              </w:rPr>
            </w:r>
            <w:r/>
          </w:p>
          <w:p>
            <w:pPr>
              <w:jc w:val="center"/>
              <w:widowControl/>
              <w:rPr>
                <w:rFonts w:hint="eastAsia" w:ascii="宋体" w:hAnsi="宋体" w:cs="宋体"/>
                <w:b/>
                <w:bCs/>
                <w:color w:val="auto"/>
                <w:sz w:val="36"/>
                <w:szCs w:val="36"/>
                <w:highlight w:val="none"/>
              </w:rPr>
            </w:pPr>
            <w:r>
              <w:rPr>
                <w:rFonts w:hint="eastAsia" w:ascii="宋体" w:hAnsi="宋体" w:cs="宋体"/>
                <w:b/>
                <w:bCs/>
                <w:color w:val="auto"/>
                <w:sz w:val="36"/>
                <w:szCs w:val="36"/>
                <w:highlight w:val="none"/>
                <w:lang w:bidi="ar"/>
              </w:rPr>
              <w:t xml:space="preserve">第</w:t>
            </w:r>
            <w:r>
              <w:rPr>
                <w:rFonts w:ascii="Times New Roman" w:hAnsi="Times New Roman"/>
                <w:b/>
                <w:bCs/>
                <w:color w:val="auto"/>
                <w:sz w:val="36"/>
                <w:szCs w:val="36"/>
                <w:highlight w:val="none"/>
                <w:lang w:bidi="ar"/>
              </w:rPr>
              <w:t xml:space="preserve">100</w:t>
            </w:r>
            <w:r>
              <w:rPr>
                <w:rFonts w:hint="eastAsia" w:ascii="宋体" w:hAnsi="宋体" w:cs="宋体"/>
                <w:b/>
                <w:bCs/>
                <w:color w:val="auto"/>
                <w:sz w:val="36"/>
                <w:szCs w:val="36"/>
                <w:highlight w:val="none"/>
                <w:lang w:bidi="ar"/>
              </w:rPr>
              <w:t xml:space="preserve">章</w:t>
            </w:r>
            <w:r>
              <w:rPr>
                <w:rFonts w:ascii="Times New Roman" w:hAnsi="Times New Roman"/>
                <w:b/>
                <w:bCs/>
                <w:color w:val="auto"/>
                <w:sz w:val="36"/>
                <w:szCs w:val="36"/>
                <w:highlight w:val="none"/>
                <w:lang w:bidi="ar"/>
              </w:rPr>
              <w:t xml:space="preserve">  </w:t>
            </w:r>
            <w:r>
              <w:rPr>
                <w:rFonts w:hint="eastAsia" w:ascii="宋体" w:hAnsi="宋体" w:cs="宋体"/>
                <w:b/>
                <w:bCs/>
                <w:color w:val="auto"/>
                <w:sz w:val="36"/>
                <w:szCs w:val="36"/>
                <w:highlight w:val="none"/>
                <w:lang w:bidi="ar"/>
              </w:rPr>
              <w:t xml:space="preserve">总则（基价类）</w:t>
            </w:r>
            <w:r/>
          </w:p>
        </w:tc>
      </w:tr>
      <w:tr>
        <w:trPr>
          <w:gridBefore w:val="1"/>
          <w:trHeight w:val="501"/>
        </w:trPr>
        <w:tc>
          <w:tcPr>
            <w:tcBorders>
              <w:top w:val="none" w:color="000000" w:sz="4" w:space="0"/>
              <w:left w:val="none" w:color="000000" w:sz="4" w:space="0"/>
              <w:bottom w:val="single" w:color="auto" w:sz="4" w:space="0"/>
              <w:right w:val="none" w:color="000000" w:sz="4" w:space="0"/>
            </w:tcBorders>
            <w:tcW w:w="1020" w:type="dxa"/>
            <w:vAlign w:val="center"/>
            <w:textDirection w:val="lrTb"/>
            <w:noWrap/>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none" w:color="000000" w:sz="4" w:space="0"/>
              <w:bottom w:val="single" w:color="auto" w:sz="4" w:space="0"/>
              <w:right w:val="none" w:color="000000" w:sz="4" w:space="0"/>
            </w:tcBorders>
            <w:tcW w:w="3004" w:type="dxa"/>
            <w:vAlign w:val="center"/>
            <w:textDirection w:val="lrTb"/>
            <w:noWrap/>
          </w:tcPr>
          <w:p>
            <w:pPr>
              <w:jc w:val="lef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tcBorders>
              <w:top w:val="none" w:color="000000" w:sz="4" w:space="0"/>
              <w:left w:val="none" w:color="000000" w:sz="4" w:space="0"/>
              <w:bottom w:val="single" w:color="auto" w:sz="4" w:space="0"/>
              <w:right w:val="none" w:color="000000" w:sz="4" w:space="0"/>
            </w:tcBorders>
            <w:tcW w:w="877" w:type="dxa"/>
            <w:vAlign w:val="center"/>
            <w:textDirection w:val="lrTb"/>
            <w:noWrap/>
          </w:tcPr>
          <w:p>
            <w:pPr>
              <w:jc w:val="lef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tcBorders>
              <w:top w:val="none" w:color="000000" w:sz="4" w:space="0"/>
              <w:left w:val="none" w:color="000000" w:sz="4" w:space="0"/>
              <w:bottom w:val="single" w:color="auto" w:sz="4" w:space="0"/>
              <w:right w:val="none" w:color="000000" w:sz="4" w:space="0"/>
            </w:tcBorders>
            <w:tcW w:w="824" w:type="dxa"/>
            <w:vAlign w:val="center"/>
            <w:textDirection w:val="lrTb"/>
            <w:noWrap/>
          </w:tcPr>
          <w:p>
            <w:pPr>
              <w:jc w:val="lef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tcBorders>
              <w:top w:val="none" w:color="000000" w:sz="4" w:space="0"/>
              <w:left w:val="none" w:color="000000" w:sz="4" w:space="0"/>
              <w:bottom w:val="single" w:color="auto" w:sz="4" w:space="0"/>
              <w:right w:val="none" w:color="000000" w:sz="4" w:space="0"/>
            </w:tcBorders>
            <w:tcW w:w="1265" w:type="dxa"/>
            <w:vAlign w:val="center"/>
            <w:textDirection w:val="lrTb"/>
            <w:noWrap/>
          </w:tcPr>
          <w:p>
            <w:pPr>
              <w:jc w:val="lef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gridSpan w:val="2"/>
            <w:tcBorders>
              <w:top w:val="none" w:color="000000" w:sz="4" w:space="0"/>
              <w:left w:val="none" w:color="000000" w:sz="4" w:space="0"/>
              <w:bottom w:val="single" w:color="auto" w:sz="4" w:space="0"/>
              <w:right w:val="none" w:color="000000" w:sz="4" w:space="0"/>
            </w:tcBorders>
            <w:tcW w:w="1830" w:type="dxa"/>
            <w:vAlign w:val="center"/>
            <w:textDirection w:val="lrTb"/>
            <w:noWrap/>
          </w:tcPr>
          <w:p>
            <w:pPr>
              <w:jc w:val="right"/>
              <w:widowControl/>
              <w:rPr>
                <w:rFonts w:ascii="Times New Roman" w:hAnsi="Times New Roman"/>
                <w:color w:val="auto"/>
                <w:sz w:val="20"/>
                <w:szCs w:val="20"/>
                <w:highlight w:val="none"/>
              </w:rPr>
            </w:pPr>
            <w:r>
              <w:rPr>
                <w:rFonts w:hint="eastAsia" w:ascii="宋体" w:hAnsi="宋体"/>
                <w:color w:val="auto"/>
                <w:sz w:val="20"/>
                <w:szCs w:val="20"/>
                <w:highlight w:val="none"/>
              </w:rPr>
              <w:t xml:space="preserve">货币单位：人民币元</w:t>
            </w:r>
            <w:r/>
          </w:p>
        </w:tc>
      </w:tr>
      <w:tr>
        <w:trPr>
          <w:gridBefore w:val="1"/>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rPr>
              <w:t xml:space="preserve">细目号</w:t>
            </w:r>
            <w:r/>
          </w:p>
        </w:tc>
        <w:tc>
          <w:tcPr>
            <w:shd w:val="clear" w:color="000000" w:fill="ffffff"/>
            <w:tcBorders>
              <w:top w:val="none" w:color="000000" w:sz="4" w:space="0"/>
              <w:left w:val="none" w:color="000000" w:sz="4" w:space="0"/>
              <w:bottom w:val="single" w:color="auto" w:sz="4" w:space="0"/>
              <w:right w:val="single" w:color="auto" w:sz="4" w:space="0"/>
            </w:tcBorders>
            <w:tcW w:w="3004" w:type="dxa"/>
            <w:vAlign w:val="center"/>
            <w:textDirection w:val="lrTb"/>
            <w:noWrap w:val="false"/>
          </w:tcPr>
          <w:p>
            <w:pPr>
              <w:jc w:val="center"/>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rPr>
              <w:t xml:space="preserve">细目名称</w:t>
            </w:r>
            <w:r/>
          </w:p>
        </w:tc>
        <w:tc>
          <w:tcPr>
            <w:shd w:val="clear" w:color="000000" w:fill="ffffff"/>
            <w:tcBorders>
              <w:top w:val="none" w:color="000000" w:sz="4" w:space="0"/>
              <w:left w:val="none" w:color="000000" w:sz="4" w:space="0"/>
              <w:bottom w:val="single" w:color="auto" w:sz="4" w:space="0"/>
              <w:right w:val="single" w:color="auto" w:sz="4" w:space="0"/>
            </w:tcBorders>
            <w:tcW w:w="877" w:type="dxa"/>
            <w:vAlign w:val="center"/>
            <w:textDirection w:val="lrTb"/>
            <w:noWrap w:val="false"/>
          </w:tcPr>
          <w:p>
            <w:pPr>
              <w:jc w:val="center"/>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rPr>
              <w:t xml:space="preserve">单位</w:t>
            </w:r>
            <w:r/>
          </w:p>
        </w:tc>
        <w:tc>
          <w:tcPr>
            <w:shd w:val="clear" w:color="000000" w:fill="ffffff"/>
            <w:tcBorders>
              <w:top w:val="none" w:color="000000" w:sz="4" w:space="0"/>
              <w:left w:val="none" w:color="000000" w:sz="4" w:space="0"/>
              <w:bottom w:val="single" w:color="auto" w:sz="4" w:space="0"/>
              <w:right w:val="single" w:color="auto" w:sz="4" w:space="0"/>
            </w:tcBorders>
            <w:tcW w:w="824" w:type="dxa"/>
            <w:vAlign w:val="center"/>
            <w:textDirection w:val="lrTb"/>
            <w:noWrap w:val="false"/>
          </w:tcPr>
          <w:p>
            <w:pPr>
              <w:jc w:val="center"/>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rPr>
              <w:t xml:space="preserve">数量</w:t>
            </w:r>
            <w:r/>
          </w:p>
        </w:tc>
        <w:tc>
          <w:tcPr>
            <w:shd w:val="clear" w:color="000000" w:fill="ffffff"/>
            <w:tcBorders>
              <w:top w:val="none" w:color="000000" w:sz="4" w:space="0"/>
              <w:left w:val="none" w:color="000000" w:sz="4" w:space="0"/>
              <w:bottom w:val="single" w:color="auto" w:sz="4" w:space="0"/>
              <w:right w:val="single" w:color="auto" w:sz="4" w:space="0"/>
            </w:tcBorders>
            <w:tcW w:w="1265" w:type="dxa"/>
            <w:vAlign w:val="center"/>
            <w:textDirection w:val="lrTb"/>
            <w:noWrap w:val="false"/>
          </w:tcPr>
          <w:p>
            <w:pPr>
              <w:jc w:val="center"/>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rPr>
              <w:t xml:space="preserve">单价</w:t>
            </w:r>
            <w:r/>
          </w:p>
        </w:tc>
        <w:tc>
          <w:tcPr>
            <w:gridSpan w:val="2"/>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rPr>
              <w:t xml:space="preserve">金额</w:t>
            </w:r>
            <w:r>
              <w:rPr>
                <w:rFonts w:ascii="Times New Roman" w:hAnsi="Times New Roman"/>
                <w:b/>
                <w:bCs/>
                <w:color w:val="auto"/>
                <w:sz w:val="20"/>
                <w:szCs w:val="20"/>
                <w:highlight w:val="none"/>
              </w:rPr>
              <w:t xml:space="preserve">(</w:t>
            </w:r>
            <w:r>
              <w:rPr>
                <w:rFonts w:hint="eastAsia" w:ascii="宋体" w:hAnsi="宋体" w:cs="宋体"/>
                <w:b/>
                <w:bCs/>
                <w:color w:val="auto"/>
                <w:sz w:val="20"/>
                <w:szCs w:val="20"/>
                <w:highlight w:val="none"/>
              </w:rPr>
              <w:t xml:space="preserve">元）</w:t>
            </w:r>
            <w:r/>
          </w:p>
        </w:tc>
      </w:tr>
      <w:tr>
        <w:trPr>
          <w:gridBefore w:val="1"/>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S122ZZJ</w:t>
            </w:r>
            <w:r/>
          </w:p>
        </w:tc>
        <w:tc>
          <w:tcPr>
            <w:shd w:val="clear" w:color="000000" w:fill="ffffff"/>
            <w:tcBorders>
              <w:top w:val="none" w:color="000000" w:sz="4" w:space="0"/>
              <w:left w:val="none" w:color="000000" w:sz="4" w:space="0"/>
              <w:bottom w:val="single" w:color="auto" w:sz="4" w:space="0"/>
              <w:right w:val="single" w:color="auto" w:sz="4" w:space="0"/>
            </w:tcBorders>
            <w:tcW w:w="3004"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S122辅道（汤山段）</w:t>
            </w:r>
            <w:r/>
          </w:p>
        </w:tc>
        <w:tc>
          <w:tcPr>
            <w:shd w:val="clear" w:color="000000" w:fill="ffffff"/>
            <w:tcBorders>
              <w:top w:val="none" w:color="000000" w:sz="4" w:space="0"/>
              <w:left w:val="none" w:color="000000" w:sz="4" w:space="0"/>
              <w:bottom w:val="single" w:color="auto" w:sz="4" w:space="0"/>
              <w:right w:val="single" w:color="auto" w:sz="4" w:space="0"/>
            </w:tcBorders>
            <w:tcW w:w="877"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24"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265"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r>
      <w:tr>
        <w:trPr>
          <w:gridBefore w:val="1"/>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-01</w:t>
            </w:r>
            <w:r/>
          </w:p>
        </w:tc>
        <w:tc>
          <w:tcPr>
            <w:shd w:val="clear" w:color="000000" w:fill="ffffff"/>
            <w:tcBorders>
              <w:top w:val="none" w:color="000000" w:sz="4" w:space="0"/>
              <w:left w:val="none" w:color="000000" w:sz="4" w:space="0"/>
              <w:bottom w:val="single" w:color="auto" w:sz="4" w:space="0"/>
              <w:right w:val="single" w:color="auto" w:sz="4" w:space="0"/>
            </w:tcBorders>
            <w:tcW w:w="3004"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保险费</w:t>
            </w:r>
            <w:r/>
          </w:p>
        </w:tc>
        <w:tc>
          <w:tcPr>
            <w:shd w:val="clear" w:color="000000" w:fill="ffffff"/>
            <w:tcBorders>
              <w:top w:val="none" w:color="000000" w:sz="4" w:space="0"/>
              <w:left w:val="none" w:color="000000" w:sz="4" w:space="0"/>
              <w:bottom w:val="single" w:color="auto" w:sz="4" w:space="0"/>
              <w:right w:val="single" w:color="auto" w:sz="4" w:space="0"/>
            </w:tcBorders>
            <w:tcW w:w="877"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24"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265"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r>
      <w:tr>
        <w:trPr>
          <w:gridBefore w:val="1"/>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-a</w:t>
            </w:r>
            <w:r/>
          </w:p>
        </w:tc>
        <w:tc>
          <w:tcPr>
            <w:shd w:val="clear" w:color="000000" w:fill="ffffff"/>
            <w:tcBorders>
              <w:top w:val="none" w:color="000000" w:sz="4" w:space="0"/>
              <w:left w:val="none" w:color="000000" w:sz="4" w:space="0"/>
              <w:bottom w:val="single" w:color="auto" w:sz="4" w:space="0"/>
              <w:right w:val="single" w:color="auto" w:sz="4" w:space="0"/>
            </w:tcBorders>
            <w:tcW w:w="3004"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建筑一切险</w:t>
            </w:r>
            <w:r/>
          </w:p>
        </w:tc>
        <w:tc>
          <w:tcPr>
            <w:shd w:val="clear" w:color="000000" w:fill="ffffff"/>
            <w:tcBorders>
              <w:top w:val="none" w:color="000000" w:sz="4" w:space="0"/>
              <w:left w:val="none" w:color="000000" w:sz="4" w:space="0"/>
              <w:bottom w:val="single" w:color="auto" w:sz="4" w:space="0"/>
              <w:right w:val="single" w:color="auto" w:sz="4" w:space="0"/>
            </w:tcBorders>
            <w:tcW w:w="877"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总额</w:t>
            </w:r>
            <w:r/>
          </w:p>
        </w:tc>
        <w:tc>
          <w:tcPr>
            <w:shd w:val="clear" w:color="000000" w:fill="ffffff"/>
            <w:tcBorders>
              <w:top w:val="none" w:color="000000" w:sz="4" w:space="0"/>
              <w:left w:val="none" w:color="000000" w:sz="4" w:space="0"/>
              <w:bottom w:val="single" w:color="auto" w:sz="4" w:space="0"/>
              <w:right w:val="single" w:color="auto" w:sz="4" w:space="0"/>
            </w:tcBorders>
            <w:tcW w:w="824"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1265"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gridSpan w:val="2"/>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gridBefore w:val="1"/>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-b</w:t>
            </w:r>
            <w:r/>
          </w:p>
        </w:tc>
        <w:tc>
          <w:tcPr>
            <w:shd w:val="clear" w:color="000000" w:fill="ffffff"/>
            <w:tcBorders>
              <w:top w:val="none" w:color="000000" w:sz="4" w:space="0"/>
              <w:left w:val="none" w:color="000000" w:sz="4" w:space="0"/>
              <w:bottom w:val="single" w:color="auto" w:sz="4" w:space="0"/>
              <w:right w:val="single" w:color="auto" w:sz="4" w:space="0"/>
            </w:tcBorders>
            <w:tcW w:w="3004"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第三者责任险</w:t>
            </w:r>
            <w:r/>
          </w:p>
        </w:tc>
        <w:tc>
          <w:tcPr>
            <w:shd w:val="clear" w:color="000000" w:fill="ffffff"/>
            <w:tcBorders>
              <w:top w:val="none" w:color="000000" w:sz="4" w:space="0"/>
              <w:left w:val="none" w:color="000000" w:sz="4" w:space="0"/>
              <w:bottom w:val="single" w:color="auto" w:sz="4" w:space="0"/>
              <w:right w:val="single" w:color="auto" w:sz="4" w:space="0"/>
            </w:tcBorders>
            <w:tcW w:w="877"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总额</w:t>
            </w:r>
            <w:r/>
          </w:p>
        </w:tc>
        <w:tc>
          <w:tcPr>
            <w:shd w:val="clear" w:color="000000" w:fill="ffffff"/>
            <w:tcBorders>
              <w:top w:val="none" w:color="000000" w:sz="4" w:space="0"/>
              <w:left w:val="none" w:color="000000" w:sz="4" w:space="0"/>
              <w:bottom w:val="single" w:color="auto" w:sz="4" w:space="0"/>
              <w:right w:val="single" w:color="auto" w:sz="4" w:space="0"/>
            </w:tcBorders>
            <w:tcW w:w="824"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1265"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gridSpan w:val="2"/>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gridBefore w:val="1"/>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-c</w:t>
            </w:r>
            <w:r/>
          </w:p>
        </w:tc>
        <w:tc>
          <w:tcPr>
            <w:shd w:val="clear" w:color="000000" w:fill="ffffff"/>
            <w:tcBorders>
              <w:top w:val="none" w:color="000000" w:sz="4" w:space="0"/>
              <w:left w:val="none" w:color="000000" w:sz="4" w:space="0"/>
              <w:bottom w:val="single" w:color="auto" w:sz="4" w:space="0"/>
              <w:right w:val="single" w:color="auto" w:sz="4" w:space="0"/>
            </w:tcBorders>
            <w:tcW w:w="3004"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工伤保险费（最高投标限价的3</w:t>
            </w:r>
            <w:r>
              <w:rPr>
                <w:rFonts w:ascii="Times New Roman" w:hAnsi="Times New Roman"/>
                <w:color w:val="auto"/>
                <w:sz w:val="20"/>
                <w:szCs w:val="20"/>
                <w:highlight w:val="none"/>
              </w:rPr>
              <w:t xml:space="preserve">‰</w:t>
            </w:r>
            <w:r>
              <w:rPr>
                <w:rFonts w:hint="eastAsia" w:ascii="宋体" w:hAnsi="宋体" w:cs="宋体"/>
                <w:color w:val="auto"/>
                <w:sz w:val="20"/>
                <w:szCs w:val="20"/>
                <w:highlight w:val="none"/>
              </w:rPr>
              <w:t xml:space="preserve">，固定值）</w:t>
            </w:r>
            <w:r/>
          </w:p>
        </w:tc>
        <w:tc>
          <w:tcPr>
            <w:shd w:val="clear" w:color="000000" w:fill="ffffff"/>
            <w:tcBorders>
              <w:top w:val="none" w:color="000000" w:sz="4" w:space="0"/>
              <w:left w:val="none" w:color="000000" w:sz="4" w:space="0"/>
              <w:bottom w:val="single" w:color="auto" w:sz="4" w:space="0"/>
              <w:right w:val="single" w:color="auto" w:sz="4" w:space="0"/>
            </w:tcBorders>
            <w:tcW w:w="877"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总额</w:t>
            </w:r>
            <w:r/>
          </w:p>
        </w:tc>
        <w:tc>
          <w:tcPr>
            <w:shd w:val="clear" w:color="000000" w:fill="ffffff"/>
            <w:tcBorders>
              <w:top w:val="none" w:color="000000" w:sz="4" w:space="0"/>
              <w:left w:val="none" w:color="000000" w:sz="4" w:space="0"/>
              <w:bottom w:val="single" w:color="auto" w:sz="4" w:space="0"/>
              <w:right w:val="single" w:color="auto" w:sz="4" w:space="0"/>
            </w:tcBorders>
            <w:tcW w:w="824"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1265"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210</w:t>
            </w:r>
            <w:r>
              <w:rPr>
                <w:rFonts w:hint="eastAsia" w:ascii="Times New Roman" w:hAnsi="Times New Roman"/>
                <w:color w:val="auto"/>
                <w:sz w:val="20"/>
                <w:szCs w:val="20"/>
                <w:highlight w:val="none"/>
              </w:rPr>
              <w:t xml:space="preserve">0</w:t>
            </w:r>
            <w:r>
              <w:rPr>
                <w:rFonts w:ascii="Times New Roman" w:hAnsi="Times New Roman"/>
                <w:color w:val="auto"/>
                <w:sz w:val="20"/>
                <w:szCs w:val="20"/>
                <w:highlight w:val="none"/>
              </w:rPr>
              <w:t xml:space="preserve">0.00 </w:t>
            </w:r>
            <w:r/>
          </w:p>
        </w:tc>
        <w:tc>
          <w:tcPr>
            <w:gridSpan w:val="2"/>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gridBefore w:val="1"/>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-d</w:t>
            </w:r>
            <w:r/>
          </w:p>
        </w:tc>
        <w:tc>
          <w:tcPr>
            <w:shd w:val="clear" w:color="000000" w:fill="ffffff"/>
            <w:tcBorders>
              <w:top w:val="none" w:color="000000" w:sz="4" w:space="0"/>
              <w:left w:val="none" w:color="000000" w:sz="4" w:space="0"/>
              <w:bottom w:val="single" w:color="auto" w:sz="4" w:space="0"/>
              <w:right w:val="single" w:color="auto" w:sz="4" w:space="0"/>
            </w:tcBorders>
            <w:tcW w:w="3004"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公众责任险（固定值）</w:t>
            </w:r>
            <w:r/>
          </w:p>
        </w:tc>
        <w:tc>
          <w:tcPr>
            <w:shd w:val="clear" w:color="000000" w:fill="ffffff"/>
            <w:tcBorders>
              <w:top w:val="none" w:color="000000" w:sz="4" w:space="0"/>
              <w:left w:val="none" w:color="000000" w:sz="4" w:space="0"/>
              <w:bottom w:val="single" w:color="auto" w:sz="4" w:space="0"/>
              <w:right w:val="single" w:color="auto" w:sz="4" w:space="0"/>
            </w:tcBorders>
            <w:tcW w:w="877"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总额</w:t>
            </w:r>
            <w:r/>
          </w:p>
        </w:tc>
        <w:tc>
          <w:tcPr>
            <w:shd w:val="clear" w:color="000000" w:fill="ffffff"/>
            <w:tcBorders>
              <w:top w:val="none" w:color="000000" w:sz="4" w:space="0"/>
              <w:left w:val="none" w:color="000000" w:sz="4" w:space="0"/>
              <w:bottom w:val="single" w:color="auto" w:sz="4" w:space="0"/>
              <w:right w:val="single" w:color="auto" w:sz="4" w:space="0"/>
            </w:tcBorders>
            <w:tcW w:w="824"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1265"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80000.00 </w:t>
            </w:r>
            <w:r/>
          </w:p>
        </w:tc>
        <w:tc>
          <w:tcPr>
            <w:gridSpan w:val="2"/>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gridBefore w:val="1"/>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-e</w:t>
            </w:r>
            <w:r/>
          </w:p>
        </w:tc>
        <w:tc>
          <w:tcPr>
            <w:shd w:val="clear" w:color="000000" w:fill="ffffff"/>
            <w:tcBorders>
              <w:top w:val="none" w:color="000000" w:sz="4" w:space="0"/>
              <w:left w:val="none" w:color="000000" w:sz="4" w:space="0"/>
              <w:bottom w:val="single" w:color="auto" w:sz="4" w:space="0"/>
              <w:right w:val="single" w:color="auto" w:sz="4" w:space="0"/>
            </w:tcBorders>
            <w:tcW w:w="3004"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雇主责任险</w:t>
            </w:r>
            <w:r/>
          </w:p>
        </w:tc>
        <w:tc>
          <w:tcPr>
            <w:shd w:val="clear" w:color="000000" w:fill="ffffff"/>
            <w:tcBorders>
              <w:top w:val="none" w:color="000000" w:sz="4" w:space="0"/>
              <w:left w:val="none" w:color="000000" w:sz="4" w:space="0"/>
              <w:bottom w:val="single" w:color="auto" w:sz="4" w:space="0"/>
              <w:right w:val="single" w:color="auto" w:sz="4" w:space="0"/>
            </w:tcBorders>
            <w:tcW w:w="877"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总额</w:t>
            </w:r>
            <w:r/>
          </w:p>
        </w:tc>
        <w:tc>
          <w:tcPr>
            <w:shd w:val="clear" w:color="000000" w:fill="ffffff"/>
            <w:tcBorders>
              <w:top w:val="none" w:color="000000" w:sz="4" w:space="0"/>
              <w:left w:val="none" w:color="000000" w:sz="4" w:space="0"/>
              <w:bottom w:val="single" w:color="auto" w:sz="4" w:space="0"/>
              <w:right w:val="single" w:color="auto" w:sz="4" w:space="0"/>
            </w:tcBorders>
            <w:tcW w:w="824"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1265"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gridSpan w:val="2"/>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gridBefore w:val="1"/>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-02</w:t>
            </w:r>
            <w:r/>
          </w:p>
        </w:tc>
        <w:tc>
          <w:tcPr>
            <w:shd w:val="clear" w:color="000000" w:fill="ffffff"/>
            <w:tcBorders>
              <w:top w:val="none" w:color="000000" w:sz="4" w:space="0"/>
              <w:left w:val="none" w:color="000000" w:sz="4" w:space="0"/>
              <w:bottom w:val="single" w:color="auto" w:sz="4" w:space="0"/>
              <w:right w:val="single" w:color="auto" w:sz="4" w:space="0"/>
            </w:tcBorders>
            <w:tcW w:w="3004"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管理费</w:t>
            </w:r>
            <w:r/>
          </w:p>
        </w:tc>
        <w:tc>
          <w:tcPr>
            <w:shd w:val="clear" w:color="000000" w:fill="ffffff"/>
            <w:tcBorders>
              <w:top w:val="none" w:color="000000" w:sz="4" w:space="0"/>
              <w:left w:val="none" w:color="000000" w:sz="4" w:space="0"/>
              <w:bottom w:val="single" w:color="auto" w:sz="4" w:space="0"/>
              <w:right w:val="single" w:color="auto" w:sz="4" w:space="0"/>
            </w:tcBorders>
            <w:tcW w:w="877"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24"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265"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r>
      <w:tr>
        <w:trPr>
          <w:gridBefore w:val="1"/>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-a</w:t>
            </w:r>
            <w:r/>
          </w:p>
        </w:tc>
        <w:tc>
          <w:tcPr>
            <w:shd w:val="clear" w:color="000000" w:fill="ffffff"/>
            <w:tcBorders>
              <w:top w:val="none" w:color="000000" w:sz="4" w:space="0"/>
              <w:left w:val="none" w:color="000000" w:sz="4" w:space="0"/>
              <w:bottom w:val="single" w:color="auto" w:sz="4" w:space="0"/>
              <w:right w:val="single" w:color="auto" w:sz="4" w:space="0"/>
            </w:tcBorders>
            <w:tcW w:w="3004"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资料费</w:t>
            </w:r>
            <w:r/>
          </w:p>
        </w:tc>
        <w:tc>
          <w:tcPr>
            <w:shd w:val="clear" w:color="000000" w:fill="ffffff"/>
            <w:tcBorders>
              <w:top w:val="none" w:color="000000" w:sz="4" w:space="0"/>
              <w:left w:val="none" w:color="000000" w:sz="4" w:space="0"/>
              <w:bottom w:val="single" w:color="auto" w:sz="4" w:space="0"/>
              <w:right w:val="single" w:color="auto" w:sz="4" w:space="0"/>
            </w:tcBorders>
            <w:tcW w:w="877"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总额</w:t>
            </w:r>
            <w:r/>
          </w:p>
        </w:tc>
        <w:tc>
          <w:tcPr>
            <w:shd w:val="clear" w:color="000000" w:fill="ffffff"/>
            <w:tcBorders>
              <w:top w:val="none" w:color="000000" w:sz="4" w:space="0"/>
              <w:left w:val="none" w:color="000000" w:sz="4" w:space="0"/>
              <w:bottom w:val="single" w:color="auto" w:sz="4" w:space="0"/>
              <w:right w:val="single" w:color="auto" w:sz="4" w:space="0"/>
            </w:tcBorders>
            <w:tcW w:w="824"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1265"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gridSpan w:val="2"/>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gridBefore w:val="1"/>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-b</w:t>
            </w:r>
            <w:r/>
          </w:p>
        </w:tc>
        <w:tc>
          <w:tcPr>
            <w:shd w:val="clear" w:color="000000" w:fill="ffffff"/>
            <w:tcBorders>
              <w:top w:val="none" w:color="000000" w:sz="4" w:space="0"/>
              <w:left w:val="none" w:color="000000" w:sz="4" w:space="0"/>
              <w:bottom w:val="single" w:color="auto" w:sz="4" w:space="0"/>
              <w:right w:val="single" w:color="auto" w:sz="4" w:space="0"/>
            </w:tcBorders>
            <w:tcW w:w="3004"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环保费</w:t>
            </w:r>
            <w:r/>
          </w:p>
        </w:tc>
        <w:tc>
          <w:tcPr>
            <w:shd w:val="clear" w:color="000000" w:fill="ffffff"/>
            <w:tcBorders>
              <w:top w:val="none" w:color="000000" w:sz="4" w:space="0"/>
              <w:left w:val="none" w:color="000000" w:sz="4" w:space="0"/>
              <w:bottom w:val="single" w:color="auto" w:sz="4" w:space="0"/>
              <w:right w:val="single" w:color="auto" w:sz="4" w:space="0"/>
            </w:tcBorders>
            <w:tcW w:w="877"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总额</w:t>
            </w:r>
            <w:r/>
          </w:p>
        </w:tc>
        <w:tc>
          <w:tcPr>
            <w:shd w:val="clear" w:color="000000" w:fill="ffffff"/>
            <w:tcBorders>
              <w:top w:val="none" w:color="000000" w:sz="4" w:space="0"/>
              <w:left w:val="none" w:color="000000" w:sz="4" w:space="0"/>
              <w:bottom w:val="single" w:color="auto" w:sz="4" w:space="0"/>
              <w:right w:val="single" w:color="auto" w:sz="4" w:space="0"/>
            </w:tcBorders>
            <w:tcW w:w="824"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1265"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gridSpan w:val="2"/>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gridBefore w:val="1"/>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-03</w:t>
            </w:r>
            <w:r/>
          </w:p>
        </w:tc>
        <w:tc>
          <w:tcPr>
            <w:shd w:val="clear" w:color="000000" w:fill="ffffff"/>
            <w:tcBorders>
              <w:top w:val="none" w:color="000000" w:sz="4" w:space="0"/>
              <w:left w:val="none" w:color="000000" w:sz="4" w:space="0"/>
              <w:bottom w:val="single" w:color="auto" w:sz="4" w:space="0"/>
              <w:right w:val="single" w:color="auto" w:sz="4" w:space="0"/>
            </w:tcBorders>
            <w:tcW w:w="3004"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驻地建设费</w:t>
            </w:r>
            <w:r/>
          </w:p>
        </w:tc>
        <w:tc>
          <w:tcPr>
            <w:shd w:val="clear" w:color="000000" w:fill="ffffff"/>
            <w:tcBorders>
              <w:top w:val="none" w:color="000000" w:sz="4" w:space="0"/>
              <w:left w:val="none" w:color="000000" w:sz="4" w:space="0"/>
              <w:bottom w:val="single" w:color="auto" w:sz="4" w:space="0"/>
              <w:right w:val="single" w:color="auto" w:sz="4" w:space="0"/>
            </w:tcBorders>
            <w:tcW w:w="877"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总额</w:t>
            </w:r>
            <w:r/>
          </w:p>
        </w:tc>
        <w:tc>
          <w:tcPr>
            <w:shd w:val="clear" w:color="000000" w:fill="ffffff"/>
            <w:tcBorders>
              <w:top w:val="none" w:color="000000" w:sz="4" w:space="0"/>
              <w:left w:val="none" w:color="000000" w:sz="4" w:space="0"/>
              <w:bottom w:val="single" w:color="auto" w:sz="4" w:space="0"/>
              <w:right w:val="single" w:color="auto" w:sz="4" w:space="0"/>
            </w:tcBorders>
            <w:tcW w:w="824"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1265"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gridSpan w:val="2"/>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gridBefore w:val="1"/>
          <w:trHeight w:val="501"/>
        </w:trPr>
        <w:tc>
          <w:tcPr>
            <w:shd w:val="clear" w:color="000000" w:fill="ffffff"/>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3004"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77"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24"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265"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r>
      <w:tr>
        <w:trPr>
          <w:gridBefore w:val="1"/>
          <w:trHeight w:val="501"/>
        </w:trPr>
        <w:tc>
          <w:tcPr>
            <w:gridSpan w:val="3"/>
            <w:shd w:val="clear" w:color="000000" w:fill="ffffff"/>
            <w:tcBorders>
              <w:top w:val="single" w:color="auto" w:sz="4" w:space="0"/>
              <w:left w:val="single" w:color="auto" w:sz="4" w:space="0"/>
              <w:bottom w:val="single" w:color="auto" w:sz="4" w:space="0"/>
              <w:right w:val="none" w:color="000000" w:sz="4" w:space="0"/>
            </w:tcBorders>
            <w:tcW w:w="4901" w:type="dxa"/>
            <w:vAlign w:val="center"/>
            <w:textDirection w:val="lrTb"/>
            <w:noWrap/>
          </w:tcPr>
          <w:p>
            <w:pPr>
              <w:jc w:val="right"/>
              <w:widowControl/>
              <w:rPr>
                <w:rFonts w:ascii="Times New Roman" w:hAnsi="Times New Roman"/>
                <w:b/>
                <w:bCs/>
                <w:color w:val="auto"/>
                <w:sz w:val="20"/>
                <w:szCs w:val="20"/>
                <w:highlight w:val="none"/>
              </w:rPr>
            </w:pPr>
            <w:r>
              <w:rPr>
                <w:rFonts w:ascii="Times New Roman" w:hAnsi="Times New Roman"/>
                <w:b/>
                <w:bCs/>
                <w:color w:val="auto"/>
                <w:sz w:val="20"/>
                <w:szCs w:val="20"/>
                <w:highlight w:val="none"/>
              </w:rPr>
              <w:t xml:space="preserve">100-1</w:t>
            </w:r>
            <w:r>
              <w:rPr>
                <w:rFonts w:hint="eastAsia" w:ascii="宋体" w:hAnsi="宋体"/>
                <w:b/>
                <w:bCs/>
                <w:color w:val="auto"/>
                <w:sz w:val="20"/>
                <w:szCs w:val="20"/>
                <w:highlight w:val="none"/>
              </w:rPr>
              <w:t xml:space="preserve">章小计</w:t>
            </w:r>
            <w:r>
              <w:rPr>
                <w:rFonts w:ascii="Times New Roman" w:hAnsi="Times New Roman"/>
                <w:b/>
                <w:bCs/>
                <w:color w:val="auto"/>
                <w:sz w:val="20"/>
                <w:szCs w:val="20"/>
                <w:highlight w:val="none"/>
              </w:rPr>
              <w:t xml:space="preserve">   </w:t>
            </w:r>
            <w:r>
              <w:rPr>
                <w:rFonts w:hint="eastAsia" w:ascii="宋体" w:hAnsi="宋体"/>
                <w:b/>
                <w:bCs/>
                <w:color w:val="auto"/>
                <w:sz w:val="20"/>
                <w:szCs w:val="20"/>
                <w:highlight w:val="none"/>
              </w:rPr>
              <w:t xml:space="preserve">人民币</w:t>
            </w:r>
            <w:r/>
          </w:p>
        </w:tc>
        <w:tc>
          <w:tcPr>
            <w:gridSpan w:val="2"/>
            <w:shd w:val="clear" w:color="000000" w:fill="ffffff"/>
            <w:tcBorders>
              <w:top w:val="single" w:color="auto" w:sz="4" w:space="0"/>
              <w:left w:val="none" w:color="000000" w:sz="4" w:space="0"/>
              <w:bottom w:val="single" w:color="auto" w:sz="4" w:space="0"/>
              <w:right w:val="none" w:color="000000" w:sz="4" w:space="0"/>
            </w:tcBorders>
            <w:tcW w:w="2089" w:type="dxa"/>
            <w:vAlign w:val="center"/>
            <w:textDirection w:val="lrTb"/>
            <w:noWrap/>
          </w:tcPr>
          <w:p>
            <w:pPr>
              <w:jc w:val="center"/>
              <w:widowControl/>
              <w:rPr>
                <w:rFonts w:ascii="Times New Roman" w:hAnsi="Times New Roman"/>
                <w:b/>
                <w:bCs/>
                <w:color w:val="auto"/>
                <w:sz w:val="20"/>
                <w:szCs w:val="20"/>
                <w:highlight w:val="none"/>
                <w:u w:val="single"/>
              </w:rPr>
            </w:pPr>
            <w:r>
              <w:rPr>
                <w:rFonts w:hint="eastAsia" w:ascii="Times New Roman" w:hAnsi="Times New Roman"/>
                <w:b/>
                <w:bCs/>
                <w:color w:val="auto"/>
                <w:sz w:val="20"/>
                <w:szCs w:val="20"/>
                <w:highlight w:val="none"/>
                <w:u w:val="single"/>
              </w:rPr>
              <w:t xml:space="preserve">             </w:t>
            </w:r>
            <w:r>
              <w:rPr>
                <w:rFonts w:ascii="Times New Roman" w:hAnsi="Times New Roman"/>
                <w:b/>
                <w:bCs/>
                <w:color w:val="auto"/>
                <w:sz w:val="20"/>
                <w:szCs w:val="20"/>
                <w:highlight w:val="none"/>
                <w:u w:val="singl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tcPr>
          <w:p>
            <w:pPr>
              <w:jc w:val="left"/>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rPr>
              <w:t xml:space="preserve">元</w:t>
            </w:r>
            <w:r/>
          </w:p>
        </w:tc>
      </w:tr>
    </w:tbl>
    <w:p>
      <w:pPr>
        <w:pStyle w:val="1138"/>
        <w:ind w:left="-288" w:firstLine="285"/>
        <w:spacing w:before="100" w:beforeAutospacing="1" w:line="480" w:lineRule="exact"/>
        <w:widowControl/>
        <w:rPr>
          <w:rFonts w:ascii="仿宋_GB2312" w:eastAsia="仿宋_GB2312"/>
          <w:bCs/>
          <w:color w:val="auto"/>
          <w:sz w:val="24"/>
          <w:highlight w:val="none"/>
        </w:rPr>
      </w:pPr>
      <w:r>
        <w:rPr>
          <w:rFonts w:ascii="仿宋_GB2312" w:eastAsia="仿宋_GB2312"/>
          <w:bCs/>
          <w:color w:val="auto"/>
          <w:sz w:val="24"/>
          <w:highlight w:val="none"/>
        </w:rPr>
      </w:r>
      <w:r/>
    </w:p>
    <w:p>
      <w:pPr>
        <w:pStyle w:val="1138"/>
        <w:ind w:left="-288" w:firstLine="285"/>
        <w:spacing w:before="100" w:beforeAutospacing="1" w:line="480" w:lineRule="exact"/>
        <w:widowControl/>
        <w:rPr>
          <w:rFonts w:ascii="仿宋_GB2312" w:eastAsia="仿宋_GB2312"/>
          <w:bCs/>
          <w:color w:val="auto"/>
          <w:sz w:val="24"/>
          <w:highlight w:val="none"/>
        </w:rPr>
      </w:pPr>
      <w:r>
        <w:rPr>
          <w:rFonts w:ascii="仿宋_GB2312" w:eastAsia="仿宋_GB2312"/>
          <w:bCs/>
          <w:color w:val="auto"/>
          <w:sz w:val="24"/>
          <w:highlight w:val="none"/>
        </w:rPr>
      </w:r>
      <w:r/>
    </w:p>
    <w:p>
      <w:pPr>
        <w:pStyle w:val="1138"/>
        <w:ind w:left="-288" w:firstLine="285"/>
        <w:spacing w:before="100" w:beforeAutospacing="1" w:line="480" w:lineRule="exact"/>
        <w:widowControl/>
        <w:rPr>
          <w:rFonts w:ascii="仿宋_GB2312" w:eastAsia="仿宋_GB2312"/>
          <w:bCs/>
          <w:color w:val="auto"/>
          <w:sz w:val="24"/>
          <w:highlight w:val="none"/>
        </w:rPr>
      </w:pPr>
      <w:r>
        <w:rPr>
          <w:rFonts w:ascii="仿宋_GB2312" w:eastAsia="仿宋_GB2312"/>
          <w:bCs/>
          <w:color w:val="auto"/>
          <w:sz w:val="24"/>
          <w:highlight w:val="none"/>
        </w:rPr>
      </w:r>
      <w:r/>
    </w:p>
    <w:p>
      <w:pPr>
        <w:pStyle w:val="1138"/>
        <w:ind w:left="-288" w:firstLine="285"/>
        <w:spacing w:before="100" w:beforeAutospacing="1" w:line="480" w:lineRule="exact"/>
        <w:widowControl/>
        <w:rPr>
          <w:rFonts w:ascii="仿宋_GB2312" w:eastAsia="仿宋_GB2312"/>
          <w:bCs/>
          <w:color w:val="auto"/>
          <w:sz w:val="24"/>
          <w:highlight w:val="none"/>
        </w:rPr>
      </w:pPr>
      <w:r>
        <w:rPr>
          <w:rFonts w:ascii="仿宋_GB2312" w:eastAsia="仿宋_GB2312"/>
          <w:bCs/>
          <w:color w:val="auto"/>
          <w:sz w:val="24"/>
          <w:highlight w:val="none"/>
        </w:rPr>
      </w:r>
      <w:r/>
    </w:p>
    <w:p>
      <w:pPr>
        <w:pStyle w:val="1138"/>
        <w:ind w:left="-288" w:firstLine="285"/>
        <w:spacing w:before="100" w:beforeAutospacing="1" w:line="480" w:lineRule="exact"/>
        <w:widowControl/>
        <w:rPr>
          <w:rFonts w:ascii="仿宋_GB2312" w:eastAsia="仿宋_GB2312"/>
          <w:bCs/>
          <w:color w:val="auto"/>
          <w:sz w:val="24"/>
          <w:highlight w:val="none"/>
        </w:rPr>
      </w:pPr>
      <w:r>
        <w:rPr>
          <w:rFonts w:ascii="仿宋_GB2312" w:eastAsia="仿宋_GB2312"/>
          <w:bCs/>
          <w:color w:val="auto"/>
          <w:sz w:val="24"/>
          <w:highlight w:val="none"/>
        </w:rPr>
      </w:r>
      <w:r/>
    </w:p>
    <w:p>
      <w:pPr>
        <w:pStyle w:val="1138"/>
        <w:ind w:left="-288" w:firstLine="285"/>
        <w:spacing w:before="100" w:beforeAutospacing="1" w:line="480" w:lineRule="exact"/>
        <w:widowControl/>
        <w:rPr>
          <w:rFonts w:ascii="仿宋_GB2312" w:eastAsia="仿宋_GB2312"/>
          <w:bCs/>
          <w:color w:val="auto"/>
          <w:sz w:val="24"/>
          <w:highlight w:val="none"/>
        </w:rPr>
      </w:pPr>
      <w:r>
        <w:rPr>
          <w:rFonts w:ascii="仿宋_GB2312" w:eastAsia="仿宋_GB2312"/>
          <w:bCs/>
          <w:color w:val="auto"/>
          <w:sz w:val="24"/>
          <w:highlight w:val="none"/>
        </w:rPr>
      </w:r>
      <w:r/>
    </w:p>
    <w:p>
      <w:pPr>
        <w:pStyle w:val="807"/>
        <w:rPr>
          <w:rFonts w:ascii="仿宋_GB2312" w:eastAsia="仿宋_GB2312"/>
          <w:bCs/>
          <w:color w:val="auto"/>
          <w:sz w:val="24"/>
          <w:highlight w:val="none"/>
        </w:rPr>
      </w:pPr>
      <w:r>
        <w:rPr>
          <w:rFonts w:hint="eastAsia"/>
          <w:color w:val="auto"/>
        </w:rPr>
        <w:t xml:space="preserve">（四）★第200章 S122辅道（汤山段）日常养护路基服务（单价类）</w:t>
      </w:r>
      <w:r/>
    </w:p>
    <w:tbl>
      <w:tblPr>
        <w:tblStyle w:val="816"/>
        <w:tblW w:w="8540" w:type="dxa"/>
        <w:tblInd w:w="108" w:type="dxa"/>
        <w:tblLayout w:type="autofit"/>
        <w:tblCellMar>
          <w:left w:w="108" w:type="dxa"/>
          <w:top w:w="0" w:type="dxa"/>
          <w:right w:w="108" w:type="dxa"/>
          <w:bottom w:w="0" w:type="dxa"/>
        </w:tblCellMar>
        <w:tblLook w:val="04A0" w:firstRow="1" w:lastRow="0" w:firstColumn="1" w:lastColumn="0" w:noHBand="0" w:noVBand="1"/>
      </w:tblPr>
      <w:tblGrid>
        <w:gridCol w:w="972"/>
        <w:gridCol w:w="3016"/>
        <w:gridCol w:w="864"/>
        <w:gridCol w:w="930"/>
        <w:gridCol w:w="930"/>
        <w:gridCol w:w="1830"/>
      </w:tblGrid>
      <w:tr>
        <w:trPr>
          <w:trHeight w:val="640"/>
        </w:trPr>
        <w:tc>
          <w:tcPr>
            <w:gridSpan w:val="6"/>
            <w:tcBorders>
              <w:top w:val="none" w:color="000000" w:sz="4" w:space="0"/>
              <w:left w:val="none" w:color="000000" w:sz="4" w:space="0"/>
              <w:bottom w:val="none" w:color="000000" w:sz="4" w:space="0"/>
              <w:right w:val="none" w:color="000000" w:sz="4" w:space="0"/>
            </w:tcBorders>
            <w:tcW w:w="8540" w:type="dxa"/>
            <w:vAlign w:val="center"/>
            <w:textDirection w:val="lrTb"/>
            <w:noWrap w:val="false"/>
          </w:tcPr>
          <w:p>
            <w:pPr>
              <w:jc w:val="center"/>
              <w:widowControl/>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第2</w:t>
            </w:r>
            <w:r>
              <w:rPr>
                <w:rFonts w:ascii="Times New Roman" w:hAnsi="Times New Roman"/>
                <w:b/>
                <w:bCs/>
                <w:color w:val="auto"/>
                <w:sz w:val="28"/>
                <w:szCs w:val="28"/>
                <w:highlight w:val="none"/>
              </w:rPr>
              <w:t xml:space="preserve">00</w:t>
            </w:r>
            <w:r>
              <w:rPr>
                <w:rFonts w:hint="eastAsia" w:ascii="宋体" w:hAnsi="宋体" w:cs="宋体"/>
                <w:b/>
                <w:bCs/>
                <w:color w:val="auto"/>
                <w:sz w:val="28"/>
                <w:szCs w:val="28"/>
                <w:highlight w:val="none"/>
              </w:rPr>
              <w:t xml:space="preserve">章</w:t>
            </w:r>
            <w:r>
              <w:rPr>
                <w:rFonts w:ascii="Times New Roman" w:hAnsi="Times New Roman"/>
                <w:b/>
                <w:bCs/>
                <w:color w:val="auto"/>
                <w:sz w:val="28"/>
                <w:szCs w:val="28"/>
                <w:highlight w:val="none"/>
              </w:rPr>
              <w:t xml:space="preserve">   S122</w:t>
            </w:r>
            <w:r>
              <w:rPr>
                <w:rFonts w:hint="eastAsia" w:ascii="宋体" w:hAnsi="宋体" w:cs="宋体"/>
                <w:b/>
                <w:bCs/>
                <w:color w:val="auto"/>
                <w:sz w:val="28"/>
                <w:szCs w:val="28"/>
                <w:highlight w:val="none"/>
              </w:rPr>
              <w:t xml:space="preserve">辅道（汤山段）日常养护路基服务（单价类）</w:t>
            </w:r>
            <w:r/>
          </w:p>
        </w:tc>
      </w:tr>
      <w:tr>
        <w:trPr>
          <w:trHeight w:val="501"/>
        </w:trPr>
        <w:tc>
          <w:tcPr>
            <w:tcBorders>
              <w:top w:val="none" w:color="000000" w:sz="4" w:space="0"/>
              <w:left w:val="none" w:color="000000" w:sz="4" w:space="0"/>
              <w:bottom w:val="single" w:color="auto" w:sz="4" w:space="0"/>
              <w:right w:val="none" w:color="000000" w:sz="4" w:space="0"/>
            </w:tcBorders>
            <w:tcW w:w="970" w:type="dxa"/>
            <w:vAlign w:val="center"/>
            <w:textDirection w:val="lrTb"/>
            <w:noWrap/>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none" w:color="000000" w:sz="4" w:space="0"/>
              <w:left w:val="none" w:color="000000" w:sz="4" w:space="0"/>
              <w:bottom w:val="single" w:color="auto" w:sz="4" w:space="0"/>
              <w:right w:val="none" w:color="000000" w:sz="4" w:space="0"/>
            </w:tcBorders>
            <w:tcW w:w="3016" w:type="dxa"/>
            <w:vAlign w:val="center"/>
            <w:textDirection w:val="lrTb"/>
            <w:noWrap/>
          </w:tcPr>
          <w:p>
            <w:pPr>
              <w:jc w:val="lef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tcBorders>
              <w:top w:val="none" w:color="000000" w:sz="4" w:space="0"/>
              <w:left w:val="none" w:color="000000" w:sz="4" w:space="0"/>
              <w:bottom w:val="single" w:color="auto" w:sz="4" w:space="0"/>
              <w:right w:val="none" w:color="000000" w:sz="4" w:space="0"/>
            </w:tcBorders>
            <w:tcW w:w="864" w:type="dxa"/>
            <w:vAlign w:val="center"/>
            <w:textDirection w:val="lrTb"/>
            <w:noWrap/>
          </w:tcPr>
          <w:p>
            <w:pPr>
              <w:jc w:val="lef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shd w:val="clear" w:color="000000" w:fill="ffffff"/>
            <w:tcBorders>
              <w:top w:val="none" w:color="000000" w:sz="4" w:space="0"/>
              <w:left w:val="none" w:color="000000" w:sz="4" w:space="0"/>
              <w:bottom w:val="single" w:color="auto" w:sz="4" w:space="0"/>
              <w:right w:val="none" w:color="000000" w:sz="4" w:space="0"/>
            </w:tcBorders>
            <w:tcW w:w="930" w:type="dxa"/>
            <w:vAlign w:val="center"/>
            <w:textDirection w:val="lrTb"/>
            <w:noWrap/>
          </w:tcPr>
          <w:p>
            <w:pPr>
              <w:jc w:val="lef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tcBorders>
              <w:top w:val="none" w:color="000000" w:sz="4" w:space="0"/>
              <w:left w:val="none" w:color="000000" w:sz="4" w:space="0"/>
              <w:bottom w:val="single" w:color="auto" w:sz="4" w:space="0"/>
              <w:right w:val="none" w:color="000000" w:sz="4" w:space="0"/>
            </w:tcBorders>
            <w:tcW w:w="930" w:type="dxa"/>
            <w:vAlign w:val="center"/>
            <w:textDirection w:val="lrTb"/>
            <w:noWrap/>
          </w:tcPr>
          <w:p>
            <w:pPr>
              <w:jc w:val="lef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tcBorders>
              <w:top w:val="none" w:color="000000" w:sz="4" w:space="0"/>
              <w:left w:val="none" w:color="000000" w:sz="4" w:space="0"/>
              <w:bottom w:val="single" w:color="auto" w:sz="4" w:space="0"/>
              <w:right w:val="none" w:color="000000" w:sz="4" w:space="0"/>
            </w:tcBorders>
            <w:tcW w:w="1830" w:type="dxa"/>
            <w:vAlign w:val="center"/>
            <w:textDirection w:val="lrTb"/>
            <w:noWrap/>
          </w:tcPr>
          <w:p>
            <w:pPr>
              <w:jc w:val="right"/>
              <w:widowControl/>
              <w:rPr>
                <w:rFonts w:ascii="Times New Roman" w:hAnsi="Times New Roman"/>
                <w:color w:val="auto"/>
                <w:sz w:val="20"/>
                <w:szCs w:val="20"/>
                <w:highlight w:val="none"/>
              </w:rPr>
            </w:pPr>
            <w:r>
              <w:rPr>
                <w:rFonts w:hint="eastAsia" w:ascii="宋体" w:hAnsi="宋体"/>
                <w:color w:val="auto"/>
                <w:sz w:val="20"/>
                <w:szCs w:val="20"/>
                <w:highlight w:val="none"/>
              </w:rPr>
              <w:t xml:space="preserve">货币单位：人民币元</w:t>
            </w:r>
            <w:r/>
          </w:p>
        </w:tc>
      </w:tr>
      <w:tr>
        <w:trPr>
          <w:trHeight w:val="501"/>
        </w:trPr>
        <w:tc>
          <w:tcPr>
            <w:tcBorders>
              <w:top w:val="none" w:color="000000" w:sz="4" w:space="0"/>
              <w:left w:val="single" w:color="auto" w:sz="4" w:space="0"/>
              <w:bottom w:val="single" w:color="auto" w:sz="4" w:space="0"/>
              <w:right w:val="single" w:color="auto" w:sz="4" w:space="0"/>
            </w:tcBorders>
            <w:tcW w:w="970" w:type="dxa"/>
            <w:vAlign w:val="center"/>
            <w:textDirection w:val="lrTb"/>
            <w:noWrap w:val="false"/>
          </w:tcPr>
          <w:p>
            <w:pPr>
              <w:jc w:val="center"/>
              <w:widowControl/>
              <w:rPr>
                <w:rFonts w:ascii="Times New Roman" w:hAnsi="Times New Roman"/>
                <w:b/>
                <w:bCs/>
                <w:color w:val="auto"/>
                <w:sz w:val="20"/>
                <w:szCs w:val="20"/>
                <w:highlight w:val="none"/>
              </w:rPr>
            </w:pPr>
            <w:r>
              <w:rPr>
                <w:rFonts w:hint="eastAsia" w:ascii="宋体" w:hAnsi="宋体"/>
                <w:b/>
                <w:bCs/>
                <w:color w:val="auto"/>
                <w:sz w:val="20"/>
                <w:szCs w:val="20"/>
                <w:highlight w:val="none"/>
              </w:rPr>
              <w:t xml:space="preserve">细目号</w:t>
            </w:r>
            <w:r/>
          </w:p>
        </w:tc>
        <w:tc>
          <w:tcPr>
            <w:tcBorders>
              <w:top w:val="none" w:color="000000" w:sz="4" w:space="0"/>
              <w:left w:val="none" w:color="000000" w:sz="4" w:space="0"/>
              <w:bottom w:val="single" w:color="auto" w:sz="4" w:space="0"/>
              <w:right w:val="single" w:color="auto" w:sz="4" w:space="0"/>
            </w:tcBorders>
            <w:tcW w:w="3016" w:type="dxa"/>
            <w:vAlign w:val="center"/>
            <w:textDirection w:val="lrTb"/>
            <w:noWrap/>
          </w:tcPr>
          <w:p>
            <w:pPr>
              <w:jc w:val="center"/>
              <w:widowControl/>
              <w:rPr>
                <w:rFonts w:ascii="Times New Roman" w:hAnsi="Times New Roman"/>
                <w:b/>
                <w:bCs/>
                <w:color w:val="auto"/>
                <w:sz w:val="20"/>
                <w:szCs w:val="20"/>
                <w:highlight w:val="none"/>
              </w:rPr>
            </w:pPr>
            <w:r>
              <w:rPr>
                <w:rFonts w:hint="eastAsia" w:ascii="宋体" w:hAnsi="宋体"/>
                <w:b/>
                <w:bCs/>
                <w:color w:val="auto"/>
                <w:sz w:val="20"/>
                <w:szCs w:val="20"/>
                <w:highlight w:val="none"/>
              </w:rPr>
              <w:t xml:space="preserve">细</w:t>
            </w:r>
            <w:r>
              <w:rPr>
                <w:rFonts w:ascii="Times New Roman" w:hAnsi="Times New Roman"/>
                <w:b/>
                <w:bCs/>
                <w:color w:val="auto"/>
                <w:sz w:val="20"/>
                <w:szCs w:val="20"/>
                <w:highlight w:val="none"/>
              </w:rPr>
              <w:t xml:space="preserve">   </w:t>
            </w:r>
            <w:r>
              <w:rPr>
                <w:rFonts w:hint="eastAsia" w:ascii="宋体" w:hAnsi="宋体"/>
                <w:b/>
                <w:bCs/>
                <w:color w:val="auto"/>
                <w:sz w:val="20"/>
                <w:szCs w:val="20"/>
                <w:highlight w:val="none"/>
              </w:rPr>
              <w:t xml:space="preserve">目</w:t>
            </w:r>
            <w:r>
              <w:rPr>
                <w:rFonts w:ascii="Times New Roman" w:hAnsi="Times New Roman"/>
                <w:b/>
                <w:bCs/>
                <w:color w:val="auto"/>
                <w:sz w:val="20"/>
                <w:szCs w:val="20"/>
                <w:highlight w:val="none"/>
              </w:rPr>
              <w:t xml:space="preserve">   </w:t>
            </w:r>
            <w:r>
              <w:rPr>
                <w:rFonts w:hint="eastAsia" w:ascii="宋体" w:hAnsi="宋体"/>
                <w:b/>
                <w:bCs/>
                <w:color w:val="auto"/>
                <w:sz w:val="20"/>
                <w:szCs w:val="20"/>
                <w:highlight w:val="none"/>
              </w:rPr>
              <w:t xml:space="preserve">名</w:t>
            </w:r>
            <w:r>
              <w:rPr>
                <w:rFonts w:ascii="Times New Roman" w:hAnsi="Times New Roman"/>
                <w:b/>
                <w:bCs/>
                <w:color w:val="auto"/>
                <w:sz w:val="20"/>
                <w:szCs w:val="20"/>
                <w:highlight w:val="none"/>
              </w:rPr>
              <w:t xml:space="preserve">    </w:t>
            </w:r>
            <w:r>
              <w:rPr>
                <w:rFonts w:hint="eastAsia" w:ascii="宋体" w:hAnsi="宋体"/>
                <w:b/>
                <w:bCs/>
                <w:color w:val="auto"/>
                <w:sz w:val="20"/>
                <w:szCs w:val="20"/>
                <w:highlight w:val="none"/>
              </w:rPr>
              <w:t xml:space="preserve">称</w:t>
            </w:r>
            <w:r/>
          </w:p>
        </w:tc>
        <w:tc>
          <w:tcPr>
            <w:tcBorders>
              <w:top w:val="none" w:color="000000" w:sz="4" w:space="0"/>
              <w:left w:val="none" w:color="000000" w:sz="4" w:space="0"/>
              <w:bottom w:val="single" w:color="auto" w:sz="4" w:space="0"/>
              <w:right w:val="single" w:color="auto" w:sz="4" w:space="0"/>
            </w:tcBorders>
            <w:tcW w:w="864" w:type="dxa"/>
            <w:vAlign w:val="center"/>
            <w:textDirection w:val="lrTb"/>
            <w:noWrap/>
          </w:tcPr>
          <w:p>
            <w:pPr>
              <w:jc w:val="center"/>
              <w:widowControl/>
              <w:rPr>
                <w:rFonts w:ascii="Times New Roman" w:hAnsi="Times New Roman"/>
                <w:b/>
                <w:bCs/>
                <w:color w:val="auto"/>
                <w:sz w:val="20"/>
                <w:szCs w:val="20"/>
                <w:highlight w:val="none"/>
              </w:rPr>
            </w:pPr>
            <w:r>
              <w:rPr>
                <w:rFonts w:hint="eastAsia" w:ascii="宋体" w:hAnsi="宋体"/>
                <w:b/>
                <w:bCs/>
                <w:color w:val="auto"/>
                <w:sz w:val="20"/>
                <w:szCs w:val="20"/>
                <w:highlight w:val="none"/>
              </w:rPr>
              <w:t xml:space="preserve">单位</w:t>
            </w:r>
            <w:r/>
          </w:p>
        </w:tc>
        <w:tc>
          <w:tcPr>
            <w:shd w:val="clear" w:color="000000" w:fill="ffffff"/>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widowControl/>
              <w:rPr>
                <w:rFonts w:ascii="Times New Roman" w:hAnsi="Times New Roman"/>
                <w:b/>
                <w:bCs/>
                <w:color w:val="auto"/>
                <w:sz w:val="20"/>
                <w:szCs w:val="20"/>
                <w:highlight w:val="none"/>
              </w:rPr>
            </w:pPr>
            <w:r>
              <w:rPr>
                <w:rFonts w:hint="eastAsia" w:ascii="宋体" w:hAnsi="宋体"/>
                <w:b/>
                <w:bCs/>
                <w:color w:val="auto"/>
                <w:sz w:val="20"/>
                <w:szCs w:val="20"/>
                <w:highlight w:val="none"/>
              </w:rPr>
              <w:t xml:space="preserve">数量</w:t>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tcPr>
          <w:p>
            <w:pPr>
              <w:jc w:val="center"/>
              <w:widowControl/>
              <w:rPr>
                <w:rFonts w:ascii="Times New Roman" w:hAnsi="Times New Roman"/>
                <w:b/>
                <w:bCs/>
                <w:color w:val="auto"/>
                <w:sz w:val="20"/>
                <w:szCs w:val="20"/>
                <w:highlight w:val="none"/>
              </w:rPr>
            </w:pPr>
            <w:r>
              <w:rPr>
                <w:rFonts w:hint="eastAsia" w:ascii="宋体" w:hAnsi="宋体"/>
                <w:b/>
                <w:bCs/>
                <w:color w:val="auto"/>
                <w:sz w:val="20"/>
                <w:szCs w:val="20"/>
                <w:highlight w:val="none"/>
              </w:rPr>
              <w:t xml:space="preserve">单价</w:t>
            </w:r>
            <w:r/>
          </w:p>
        </w:tc>
        <w:tc>
          <w:tcPr>
            <w:tcBorders>
              <w:top w:val="none" w:color="000000" w:sz="4" w:space="0"/>
              <w:left w:val="none" w:color="000000" w:sz="4" w:space="0"/>
              <w:bottom w:val="single" w:color="auto" w:sz="4" w:space="0"/>
              <w:right w:val="single" w:color="auto" w:sz="4" w:space="0"/>
            </w:tcBorders>
            <w:tcW w:w="1830" w:type="dxa"/>
            <w:vAlign w:val="center"/>
            <w:textDirection w:val="lrTb"/>
            <w:noWrap/>
          </w:tcPr>
          <w:p>
            <w:pPr>
              <w:jc w:val="center"/>
              <w:widowControl/>
              <w:rPr>
                <w:rFonts w:ascii="Times New Roman" w:hAnsi="Times New Roman"/>
                <w:b/>
                <w:bCs/>
                <w:color w:val="auto"/>
                <w:sz w:val="20"/>
                <w:szCs w:val="20"/>
                <w:highlight w:val="none"/>
              </w:rPr>
            </w:pPr>
            <w:r>
              <w:rPr>
                <w:rFonts w:hint="eastAsia" w:ascii="宋体" w:hAnsi="宋体"/>
                <w:b/>
                <w:bCs/>
                <w:color w:val="auto"/>
                <w:sz w:val="20"/>
                <w:szCs w:val="20"/>
                <w:highlight w:val="none"/>
              </w:rPr>
              <w:t xml:space="preserve">合价</w:t>
            </w:r>
            <w:r/>
          </w:p>
        </w:tc>
      </w:tr>
      <w:tr>
        <w:trPr>
          <w:trHeight w:val="501"/>
        </w:trPr>
        <w:tc>
          <w:tcPr>
            <w:tcBorders>
              <w:top w:val="none" w:color="000000" w:sz="4" w:space="0"/>
              <w:left w:val="single" w:color="auto" w:sz="4" w:space="0"/>
              <w:bottom w:val="single" w:color="auto" w:sz="4" w:space="0"/>
              <w:right w:val="single" w:color="auto" w:sz="4" w:space="0"/>
            </w:tcBorders>
            <w:tcW w:w="97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S122LJD</w:t>
            </w:r>
            <w:r/>
          </w:p>
        </w:tc>
        <w:tc>
          <w:tcPr>
            <w:tcBorders>
              <w:top w:val="none" w:color="000000" w:sz="4" w:space="0"/>
              <w:left w:val="none" w:color="000000" w:sz="4" w:space="0"/>
              <w:bottom w:val="single" w:color="auto" w:sz="4" w:space="0"/>
              <w:right w:val="single" w:color="auto" w:sz="4" w:space="0"/>
            </w:tcBorders>
            <w:tcW w:w="3016" w:type="dxa"/>
            <w:vAlign w:val="center"/>
            <w:textDirection w:val="lrTb"/>
            <w:noWrap w:val="false"/>
          </w:tcPr>
          <w:p>
            <w:pPr>
              <w:jc w:val="lef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864"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r>
      <w:tr>
        <w:trPr>
          <w:trHeight w:val="501"/>
        </w:trPr>
        <w:tc>
          <w:tcPr>
            <w:tcBorders>
              <w:top w:val="none" w:color="000000" w:sz="4" w:space="0"/>
              <w:left w:val="single" w:color="auto" w:sz="4" w:space="0"/>
              <w:bottom w:val="single" w:color="auto" w:sz="4" w:space="0"/>
              <w:right w:val="single" w:color="auto" w:sz="4" w:space="0"/>
            </w:tcBorders>
            <w:tcW w:w="97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-01</w:t>
            </w:r>
            <w:r/>
          </w:p>
        </w:tc>
        <w:tc>
          <w:tcPr>
            <w:shd w:val="clear" w:color="000000" w:fill="ffffff"/>
            <w:tcBorders>
              <w:top w:val="none" w:color="000000" w:sz="4" w:space="0"/>
              <w:left w:val="none" w:color="000000" w:sz="4" w:space="0"/>
              <w:bottom w:val="single" w:color="auto" w:sz="4" w:space="0"/>
              <w:right w:val="single" w:color="auto" w:sz="4" w:space="0"/>
            </w:tcBorders>
            <w:tcW w:w="3016"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道路挡墙修理筑砌服务</w:t>
            </w:r>
            <w:r/>
          </w:p>
        </w:tc>
        <w:tc>
          <w:tcPr>
            <w:tcBorders>
              <w:top w:val="none" w:color="000000" w:sz="4" w:space="0"/>
              <w:left w:val="none" w:color="000000" w:sz="4" w:space="0"/>
              <w:bottom w:val="single" w:color="auto" w:sz="4" w:space="0"/>
              <w:right w:val="single" w:color="auto" w:sz="4" w:space="0"/>
            </w:tcBorders>
            <w:tcW w:w="864"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930" w:type="dxa"/>
            <w:vAlign w:val="center"/>
            <w:textDirection w:val="lrTb"/>
            <w:noWrap/>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tcBorders>
              <w:top w:val="none" w:color="000000" w:sz="4" w:space="0"/>
              <w:left w:val="single" w:color="auto" w:sz="4" w:space="0"/>
              <w:bottom w:val="single" w:color="auto" w:sz="4" w:space="0"/>
              <w:right w:val="single" w:color="auto" w:sz="4" w:space="0"/>
            </w:tcBorders>
            <w:tcW w:w="97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-a</w:t>
            </w:r>
            <w:r/>
          </w:p>
        </w:tc>
        <w:tc>
          <w:tcPr>
            <w:shd w:val="clear" w:color="000000" w:fill="ffffff"/>
            <w:tcBorders>
              <w:top w:val="none" w:color="000000" w:sz="4" w:space="0"/>
              <w:left w:val="none" w:color="000000" w:sz="4" w:space="0"/>
              <w:bottom w:val="single" w:color="auto" w:sz="4" w:space="0"/>
              <w:right w:val="single" w:color="auto" w:sz="4" w:space="0"/>
            </w:tcBorders>
            <w:tcW w:w="3016"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道路挡墙修理筑砌服务（</w:t>
            </w:r>
            <w:r>
              <w:rPr>
                <w:rFonts w:ascii="Times New Roman" w:hAnsi="Times New Roman"/>
                <w:color w:val="auto"/>
                <w:sz w:val="20"/>
                <w:szCs w:val="20"/>
                <w:highlight w:val="none"/>
              </w:rPr>
              <w:t xml:space="preserve">M7.5</w:t>
            </w:r>
            <w:r>
              <w:rPr>
                <w:rFonts w:hint="eastAsia" w:ascii="宋体" w:hAnsi="宋体" w:cs="宋体"/>
                <w:color w:val="auto"/>
                <w:sz w:val="20"/>
                <w:szCs w:val="20"/>
                <w:highlight w:val="none"/>
              </w:rPr>
              <w:t xml:space="preserve">浆切片石）</w:t>
            </w:r>
            <w:r/>
          </w:p>
        </w:tc>
        <w:tc>
          <w:tcPr>
            <w:tcBorders>
              <w:top w:val="none" w:color="000000" w:sz="4" w:space="0"/>
              <w:left w:val="none" w:color="000000" w:sz="4" w:space="0"/>
              <w:bottom w:val="single" w:color="auto" w:sz="4" w:space="0"/>
              <w:right w:val="single" w:color="auto" w:sz="4" w:space="0"/>
            </w:tcBorders>
            <w:tcW w:w="864"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m</w:t>
            </w:r>
            <w:r>
              <w:rPr>
                <w:rFonts w:ascii="Times New Roman" w:hAnsi="Times New Roman"/>
                <w:color w:val="auto"/>
                <w:sz w:val="20"/>
                <w:szCs w:val="20"/>
                <w:highlight w:val="none"/>
                <w:vertAlign w:val="superscript"/>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50.00 </w:t>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tcBorders>
              <w:top w:val="none" w:color="000000" w:sz="4" w:space="0"/>
              <w:left w:val="single" w:color="auto" w:sz="4" w:space="0"/>
              <w:bottom w:val="single" w:color="auto" w:sz="4" w:space="0"/>
              <w:right w:val="single" w:color="auto" w:sz="4" w:space="0"/>
            </w:tcBorders>
            <w:tcW w:w="97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-02</w:t>
            </w:r>
            <w:r/>
          </w:p>
        </w:tc>
        <w:tc>
          <w:tcPr>
            <w:shd w:val="clear" w:color="000000" w:fill="ffffff"/>
            <w:tcBorders>
              <w:top w:val="none" w:color="000000" w:sz="4" w:space="0"/>
              <w:left w:val="none" w:color="000000" w:sz="4" w:space="0"/>
              <w:bottom w:val="single" w:color="auto" w:sz="4" w:space="0"/>
              <w:right w:val="single" w:color="auto" w:sz="4" w:space="0"/>
            </w:tcBorders>
            <w:tcW w:w="3016"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更换雨水篦子服务（综合）</w:t>
            </w:r>
            <w:r/>
          </w:p>
        </w:tc>
        <w:tc>
          <w:tcPr>
            <w:tcBorders>
              <w:top w:val="none" w:color="000000" w:sz="4" w:space="0"/>
              <w:left w:val="none" w:color="000000" w:sz="4" w:space="0"/>
              <w:bottom w:val="single" w:color="auto" w:sz="4" w:space="0"/>
              <w:right w:val="single" w:color="auto" w:sz="4" w:space="0"/>
            </w:tcBorders>
            <w:tcW w:w="864"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tcBorders>
              <w:top w:val="none" w:color="000000" w:sz="4" w:space="0"/>
              <w:left w:val="single" w:color="auto" w:sz="4" w:space="0"/>
              <w:bottom w:val="single" w:color="auto" w:sz="4" w:space="0"/>
              <w:right w:val="single" w:color="auto" w:sz="4" w:space="0"/>
            </w:tcBorders>
            <w:tcW w:w="97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-a</w:t>
            </w:r>
            <w:r/>
          </w:p>
        </w:tc>
        <w:tc>
          <w:tcPr>
            <w:shd w:val="clear" w:color="000000" w:fill="ffffff"/>
            <w:tcBorders>
              <w:top w:val="none" w:color="000000" w:sz="4" w:space="0"/>
              <w:left w:val="none" w:color="000000" w:sz="4" w:space="0"/>
              <w:bottom w:val="single" w:color="auto" w:sz="4" w:space="0"/>
              <w:right w:val="single" w:color="auto" w:sz="4" w:space="0"/>
            </w:tcBorders>
            <w:tcW w:w="3016"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更换雨水篦子服务（重型球墨铸铁篦子）</w:t>
            </w:r>
            <w:r/>
          </w:p>
        </w:tc>
        <w:tc>
          <w:tcPr>
            <w:tcBorders>
              <w:top w:val="none" w:color="000000" w:sz="4" w:space="0"/>
              <w:left w:val="none" w:color="000000" w:sz="4" w:space="0"/>
              <w:bottom w:val="single" w:color="auto" w:sz="4" w:space="0"/>
              <w:right w:val="single" w:color="auto" w:sz="4" w:space="0"/>
            </w:tcBorders>
            <w:tcW w:w="864" w:type="dxa"/>
            <w:vAlign w:val="center"/>
            <w:textDirection w:val="lrTb"/>
            <w:noWrap w:val="false"/>
          </w:tcPr>
          <w:p>
            <w:pPr>
              <w:jc w:val="center"/>
              <w:widowControl/>
              <w:rPr>
                <w:rFonts w:ascii="Times New Roman" w:hAnsi="Times New Roman"/>
                <w:color w:val="auto"/>
                <w:sz w:val="20"/>
                <w:szCs w:val="20"/>
                <w:highlight w:val="none"/>
              </w:rPr>
            </w:pPr>
            <w:r>
              <w:rPr>
                <w:rFonts w:hint="eastAsia" w:ascii="宋体" w:hAnsi="宋体"/>
                <w:color w:val="auto"/>
                <w:sz w:val="20"/>
                <w:szCs w:val="20"/>
                <w:highlight w:val="none"/>
              </w:rPr>
              <w:t xml:space="preserve">套</w:t>
            </w:r>
            <w:r/>
          </w:p>
        </w:tc>
        <w:tc>
          <w:tcPr>
            <w:shd w:val="clear" w:color="000000" w:fill="ffffff"/>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40.00 </w:t>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tcBorders>
              <w:top w:val="none" w:color="000000" w:sz="4" w:space="0"/>
              <w:left w:val="single" w:color="auto" w:sz="4" w:space="0"/>
              <w:bottom w:val="single" w:color="auto" w:sz="4" w:space="0"/>
              <w:right w:val="single" w:color="auto" w:sz="4" w:space="0"/>
            </w:tcBorders>
            <w:tcW w:w="97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-03</w:t>
            </w:r>
            <w:r/>
          </w:p>
        </w:tc>
        <w:tc>
          <w:tcPr>
            <w:shd w:val="clear" w:color="000000" w:fill="ffffff"/>
            <w:tcBorders>
              <w:top w:val="none" w:color="000000" w:sz="4" w:space="0"/>
              <w:left w:val="none" w:color="000000" w:sz="4" w:space="0"/>
              <w:bottom w:val="single" w:color="auto" w:sz="4" w:space="0"/>
              <w:right w:val="single" w:color="auto" w:sz="4" w:space="0"/>
            </w:tcBorders>
            <w:tcW w:w="3016"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更换雨水井盖服务（综合）</w:t>
            </w:r>
            <w:r/>
          </w:p>
        </w:tc>
        <w:tc>
          <w:tcPr>
            <w:tcBorders>
              <w:top w:val="none" w:color="000000" w:sz="4" w:space="0"/>
              <w:left w:val="none" w:color="000000" w:sz="4" w:space="0"/>
              <w:bottom w:val="single" w:color="auto" w:sz="4" w:space="0"/>
              <w:right w:val="single" w:color="auto" w:sz="4" w:space="0"/>
            </w:tcBorders>
            <w:tcW w:w="864"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tcBorders>
              <w:top w:val="none" w:color="000000" w:sz="4" w:space="0"/>
              <w:left w:val="single" w:color="auto" w:sz="4" w:space="0"/>
              <w:bottom w:val="single" w:color="auto" w:sz="4" w:space="0"/>
              <w:right w:val="single" w:color="auto" w:sz="4" w:space="0"/>
            </w:tcBorders>
            <w:tcW w:w="97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-a</w:t>
            </w:r>
            <w:r/>
          </w:p>
        </w:tc>
        <w:tc>
          <w:tcPr>
            <w:shd w:val="clear" w:color="000000" w:fill="ffffff"/>
            <w:tcBorders>
              <w:top w:val="none" w:color="000000" w:sz="4" w:space="0"/>
              <w:left w:val="none" w:color="000000" w:sz="4" w:space="0"/>
              <w:bottom w:val="single" w:color="auto" w:sz="4" w:space="0"/>
              <w:right w:val="single" w:color="auto" w:sz="4" w:space="0"/>
            </w:tcBorders>
            <w:tcW w:w="3016"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更换雨水井盖服务</w:t>
            </w:r>
            <w:r>
              <w:rPr>
                <w:rFonts w:ascii="Times New Roman" w:hAnsi="Times New Roman"/>
                <w:color w:val="auto"/>
                <w:sz w:val="20"/>
                <w:szCs w:val="20"/>
                <w:highlight w:val="none"/>
              </w:rPr>
              <w:t xml:space="preserve">(</w:t>
            </w:r>
            <w:r>
              <w:rPr>
                <w:rFonts w:hint="eastAsia" w:ascii="宋体" w:hAnsi="宋体" w:cs="宋体"/>
                <w:color w:val="auto"/>
                <w:sz w:val="20"/>
                <w:szCs w:val="20"/>
                <w:highlight w:val="none"/>
              </w:rPr>
              <w:t xml:space="preserve">重型球墨铸铁井盖座）</w:t>
            </w:r>
            <w:r/>
          </w:p>
        </w:tc>
        <w:tc>
          <w:tcPr>
            <w:tcBorders>
              <w:top w:val="none" w:color="000000" w:sz="4" w:space="0"/>
              <w:left w:val="none" w:color="000000" w:sz="4" w:space="0"/>
              <w:bottom w:val="single" w:color="auto" w:sz="4" w:space="0"/>
              <w:right w:val="single" w:color="auto" w:sz="4" w:space="0"/>
            </w:tcBorders>
            <w:tcW w:w="864" w:type="dxa"/>
            <w:vAlign w:val="center"/>
            <w:textDirection w:val="lrTb"/>
            <w:noWrap w:val="false"/>
          </w:tcPr>
          <w:p>
            <w:pPr>
              <w:jc w:val="center"/>
              <w:widowControl/>
              <w:rPr>
                <w:rFonts w:ascii="Times New Roman" w:hAnsi="Times New Roman"/>
                <w:color w:val="auto"/>
                <w:sz w:val="20"/>
                <w:szCs w:val="20"/>
                <w:highlight w:val="none"/>
              </w:rPr>
            </w:pPr>
            <w:r>
              <w:rPr>
                <w:rFonts w:hint="eastAsia" w:ascii="宋体" w:hAnsi="宋体"/>
                <w:color w:val="auto"/>
                <w:sz w:val="20"/>
                <w:szCs w:val="20"/>
                <w:highlight w:val="none"/>
              </w:rPr>
              <w:t xml:space="preserve">套</w:t>
            </w:r>
            <w:r/>
          </w:p>
        </w:tc>
        <w:tc>
          <w:tcPr>
            <w:shd w:val="clear" w:color="000000" w:fill="ffffff"/>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30.00 </w:t>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tcBorders>
              <w:top w:val="none" w:color="000000" w:sz="4" w:space="0"/>
              <w:left w:val="single" w:color="auto" w:sz="4" w:space="0"/>
              <w:bottom w:val="single" w:color="auto" w:sz="4" w:space="0"/>
              <w:right w:val="single" w:color="auto" w:sz="4" w:space="0"/>
            </w:tcBorders>
            <w:tcW w:w="97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-b</w:t>
            </w:r>
            <w:r/>
          </w:p>
        </w:tc>
        <w:tc>
          <w:tcPr>
            <w:shd w:val="clear" w:color="000000" w:fill="ffffff"/>
            <w:tcBorders>
              <w:top w:val="none" w:color="000000" w:sz="4" w:space="0"/>
              <w:left w:val="none" w:color="000000" w:sz="4" w:space="0"/>
              <w:bottom w:val="single" w:color="auto" w:sz="4" w:space="0"/>
              <w:right w:val="single" w:color="auto" w:sz="4" w:space="0"/>
            </w:tcBorders>
            <w:tcW w:w="3016"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井圈周边路面修复服务</w:t>
            </w:r>
            <w:r/>
          </w:p>
        </w:tc>
        <w:tc>
          <w:tcPr>
            <w:tcBorders>
              <w:top w:val="none" w:color="000000" w:sz="4" w:space="0"/>
              <w:left w:val="none" w:color="000000" w:sz="4" w:space="0"/>
              <w:bottom w:val="single" w:color="auto" w:sz="4" w:space="0"/>
              <w:right w:val="single" w:color="auto" w:sz="4" w:space="0"/>
            </w:tcBorders>
            <w:tcW w:w="864"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座</w:t>
            </w:r>
            <w:r/>
          </w:p>
        </w:tc>
        <w:tc>
          <w:tcPr>
            <w:shd w:val="clear" w:color="000000" w:fill="ffffff"/>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30.00 </w:t>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tcBorders>
              <w:top w:val="none" w:color="000000" w:sz="4" w:space="0"/>
              <w:left w:val="single" w:color="auto" w:sz="4" w:space="0"/>
              <w:bottom w:val="single" w:color="auto" w:sz="4" w:space="0"/>
              <w:right w:val="single" w:color="auto" w:sz="4" w:space="0"/>
            </w:tcBorders>
            <w:tcW w:w="97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-04</w:t>
            </w:r>
            <w:r/>
          </w:p>
        </w:tc>
        <w:tc>
          <w:tcPr>
            <w:shd w:val="clear" w:color="000000" w:fill="ffffff"/>
            <w:tcBorders>
              <w:top w:val="none" w:color="000000" w:sz="4" w:space="0"/>
              <w:left w:val="none" w:color="000000" w:sz="4" w:space="0"/>
              <w:bottom w:val="single" w:color="auto" w:sz="4" w:space="0"/>
              <w:right w:val="single" w:color="auto" w:sz="4" w:space="0"/>
            </w:tcBorders>
            <w:tcW w:w="3016"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路缘石维修更换服务</w:t>
            </w:r>
            <w:r/>
          </w:p>
        </w:tc>
        <w:tc>
          <w:tcPr>
            <w:tcBorders>
              <w:top w:val="none" w:color="000000" w:sz="4" w:space="0"/>
              <w:left w:val="none" w:color="000000" w:sz="4" w:space="0"/>
              <w:bottom w:val="single" w:color="auto" w:sz="4" w:space="0"/>
              <w:right w:val="single" w:color="auto" w:sz="4" w:space="0"/>
            </w:tcBorders>
            <w:tcW w:w="864"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tcBorders>
              <w:top w:val="none" w:color="000000" w:sz="4" w:space="0"/>
              <w:left w:val="single" w:color="auto" w:sz="4" w:space="0"/>
              <w:bottom w:val="single" w:color="auto" w:sz="4" w:space="0"/>
              <w:right w:val="single" w:color="auto" w:sz="4" w:space="0"/>
            </w:tcBorders>
            <w:tcW w:w="97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-a</w:t>
            </w:r>
            <w:r/>
          </w:p>
        </w:tc>
        <w:tc>
          <w:tcPr>
            <w:shd w:val="clear" w:color="000000" w:fill="ffffff"/>
            <w:tcBorders>
              <w:top w:val="none" w:color="000000" w:sz="4" w:space="0"/>
              <w:left w:val="none" w:color="000000" w:sz="4" w:space="0"/>
              <w:bottom w:val="single" w:color="auto" w:sz="4" w:space="0"/>
              <w:right w:val="single" w:color="auto" w:sz="4" w:space="0"/>
            </w:tcBorders>
            <w:tcW w:w="3016"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水泥砼路缘石更换服务</w:t>
            </w:r>
            <w:r>
              <w:rPr>
                <w:rFonts w:ascii="Times New Roman" w:hAnsi="Times New Roman"/>
                <w:color w:val="auto"/>
                <w:sz w:val="20"/>
                <w:szCs w:val="20"/>
                <w:highlight w:val="none"/>
              </w:rPr>
              <w:t xml:space="preserve">(</w:t>
            </w:r>
            <w:r>
              <w:rPr>
                <w:rFonts w:hint="eastAsia" w:ascii="宋体" w:hAnsi="宋体" w:cs="宋体"/>
                <w:color w:val="auto"/>
                <w:sz w:val="20"/>
                <w:szCs w:val="20"/>
                <w:highlight w:val="none"/>
              </w:rPr>
              <w:t xml:space="preserve">含拆运</w:t>
            </w:r>
            <w:r>
              <w:rPr>
                <w:rFonts w:ascii="Times New Roman" w:hAnsi="Times New Roman"/>
                <w:color w:val="auto"/>
                <w:sz w:val="20"/>
                <w:szCs w:val="20"/>
                <w:highlight w:val="none"/>
              </w:rPr>
              <w:t xml:space="preserve">)</w:t>
            </w:r>
            <w:r/>
          </w:p>
        </w:tc>
        <w:tc>
          <w:tcPr>
            <w:tcBorders>
              <w:top w:val="none" w:color="000000" w:sz="4" w:space="0"/>
              <w:left w:val="none" w:color="000000" w:sz="4" w:space="0"/>
              <w:bottom w:val="single" w:color="auto" w:sz="4" w:space="0"/>
              <w:right w:val="single" w:color="auto" w:sz="4" w:space="0"/>
            </w:tcBorders>
            <w:tcW w:w="864"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m</w:t>
            </w:r>
            <w:r/>
          </w:p>
        </w:tc>
        <w:tc>
          <w:tcPr>
            <w:shd w:val="clear" w:color="000000" w:fill="ffffff"/>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500.00 </w:t>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tcBorders>
              <w:top w:val="none" w:color="000000" w:sz="4" w:space="0"/>
              <w:left w:val="single" w:color="auto" w:sz="4" w:space="0"/>
              <w:bottom w:val="single" w:color="auto" w:sz="4" w:space="0"/>
              <w:right w:val="single" w:color="auto" w:sz="4" w:space="0"/>
            </w:tcBorders>
            <w:tcW w:w="970"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-b</w:t>
            </w:r>
            <w:r/>
          </w:p>
        </w:tc>
        <w:tc>
          <w:tcPr>
            <w:shd w:val="clear" w:color="000000" w:fill="ffffff"/>
            <w:tcBorders>
              <w:top w:val="none" w:color="000000" w:sz="4" w:space="0"/>
              <w:left w:val="none" w:color="000000" w:sz="4" w:space="0"/>
              <w:bottom w:val="single" w:color="auto" w:sz="4" w:space="0"/>
              <w:right w:val="single" w:color="auto" w:sz="4" w:space="0"/>
            </w:tcBorders>
            <w:tcW w:w="3016"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大理石路缘石更换服务</w:t>
            </w:r>
            <w:r>
              <w:rPr>
                <w:rFonts w:ascii="Times New Roman" w:hAnsi="Times New Roman"/>
                <w:color w:val="auto"/>
                <w:sz w:val="20"/>
                <w:szCs w:val="20"/>
                <w:highlight w:val="none"/>
              </w:rPr>
              <w:t xml:space="preserve">(</w:t>
            </w:r>
            <w:r>
              <w:rPr>
                <w:rFonts w:hint="eastAsia" w:ascii="宋体" w:hAnsi="宋体" w:cs="宋体"/>
                <w:color w:val="auto"/>
                <w:sz w:val="20"/>
                <w:szCs w:val="20"/>
                <w:highlight w:val="none"/>
              </w:rPr>
              <w:t xml:space="preserve">含拆运</w:t>
            </w:r>
            <w:r>
              <w:rPr>
                <w:rFonts w:ascii="Times New Roman" w:hAnsi="Times New Roman"/>
                <w:color w:val="auto"/>
                <w:sz w:val="20"/>
                <w:szCs w:val="20"/>
                <w:highlight w:val="none"/>
              </w:rPr>
              <w:t xml:space="preserve">)</w:t>
            </w:r>
            <w:r/>
          </w:p>
        </w:tc>
        <w:tc>
          <w:tcPr>
            <w:tcBorders>
              <w:top w:val="none" w:color="000000" w:sz="4" w:space="0"/>
              <w:left w:val="none" w:color="000000" w:sz="4" w:space="0"/>
              <w:bottom w:val="single" w:color="auto" w:sz="4" w:space="0"/>
              <w:right w:val="single" w:color="auto" w:sz="4" w:space="0"/>
            </w:tcBorders>
            <w:tcW w:w="864"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m</w:t>
            </w:r>
            <w:r/>
          </w:p>
        </w:tc>
        <w:tc>
          <w:tcPr>
            <w:shd w:val="clear" w:color="000000" w:fill="ffffff"/>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200.00 </w:t>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tcBorders>
              <w:top w:val="none" w:color="000000" w:sz="4" w:space="0"/>
              <w:left w:val="single" w:color="auto" w:sz="4" w:space="0"/>
              <w:bottom w:val="single" w:color="auto" w:sz="4" w:space="0"/>
              <w:right w:val="single" w:color="auto" w:sz="4" w:space="0"/>
            </w:tcBorders>
            <w:tcW w:w="97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-05</w:t>
            </w:r>
            <w:r/>
          </w:p>
        </w:tc>
        <w:tc>
          <w:tcPr>
            <w:shd w:val="clear" w:color="000000" w:fill="ffffff"/>
            <w:tcBorders>
              <w:top w:val="none" w:color="000000" w:sz="4" w:space="0"/>
              <w:left w:val="none" w:color="000000" w:sz="4" w:space="0"/>
              <w:bottom w:val="single" w:color="auto" w:sz="4" w:space="0"/>
              <w:right w:val="single" w:color="auto" w:sz="4" w:space="0"/>
            </w:tcBorders>
            <w:tcW w:w="3016"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人行道铺装修复服务（含砼垫层，材质:面包砖，尺寸: 60mm*100mm*200mm）</w:t>
            </w:r>
            <w:r/>
          </w:p>
        </w:tc>
        <w:tc>
          <w:tcPr>
            <w:tcBorders>
              <w:top w:val="none" w:color="000000" w:sz="4" w:space="0"/>
              <w:left w:val="none" w:color="000000" w:sz="4" w:space="0"/>
              <w:bottom w:val="single" w:color="auto" w:sz="4" w:space="0"/>
              <w:right w:val="single" w:color="auto" w:sz="4" w:space="0"/>
            </w:tcBorders>
            <w:tcW w:w="864"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m</w:t>
            </w:r>
            <w:r>
              <w:rPr>
                <w:rFonts w:ascii="Times New Roman" w:hAnsi="Times New Roman"/>
                <w:color w:val="auto"/>
                <w:sz w:val="20"/>
                <w:szCs w:val="20"/>
                <w:highlight w:val="none"/>
                <w:vertAlign w:val="superscript"/>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1450.00 </w:t>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760"/>
        </w:trPr>
        <w:tc>
          <w:tcPr>
            <w:shd w:val="clear" w:color="000000" w:fill="ffffff"/>
            <w:tcBorders>
              <w:top w:val="none" w:color="000000" w:sz="4" w:space="0"/>
              <w:left w:val="single" w:color="auto" w:sz="4" w:space="0"/>
              <w:bottom w:val="single" w:color="auto" w:sz="4" w:space="0"/>
              <w:right w:val="single" w:color="auto" w:sz="4" w:space="0"/>
            </w:tcBorders>
            <w:tcW w:w="97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-06</w:t>
            </w:r>
            <w:r/>
          </w:p>
        </w:tc>
        <w:tc>
          <w:tcPr>
            <w:shd w:val="clear" w:color="000000" w:fill="ffffff"/>
            <w:tcBorders>
              <w:top w:val="none" w:color="000000" w:sz="4" w:space="0"/>
              <w:left w:val="none" w:color="000000" w:sz="4" w:space="0"/>
              <w:bottom w:val="single" w:color="auto" w:sz="4" w:space="0"/>
              <w:right w:val="single" w:color="auto" w:sz="4" w:space="0"/>
            </w:tcBorders>
            <w:tcW w:w="3016"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树池修复服务材质:（树池尺寸1200mm*1200mm，材质:砼，尺寸: 60mm*100mm*200mm）</w:t>
            </w:r>
            <w:r/>
          </w:p>
        </w:tc>
        <w:tc>
          <w:tcPr>
            <w:tcBorders>
              <w:top w:val="none" w:color="000000" w:sz="4" w:space="0"/>
              <w:left w:val="none" w:color="000000" w:sz="4" w:space="0"/>
              <w:bottom w:val="single" w:color="auto" w:sz="4" w:space="0"/>
              <w:right w:val="single" w:color="auto" w:sz="4" w:space="0"/>
            </w:tcBorders>
            <w:tcW w:w="864"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个</w:t>
            </w:r>
            <w:r/>
          </w:p>
        </w:tc>
        <w:tc>
          <w:tcPr>
            <w:shd w:val="clear" w:color="000000" w:fill="ffffff"/>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300.00 </w:t>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97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-07</w:t>
            </w:r>
            <w:r/>
          </w:p>
        </w:tc>
        <w:tc>
          <w:tcPr>
            <w:shd w:val="clear" w:color="000000" w:fill="ffffff"/>
            <w:tcBorders>
              <w:top w:val="none" w:color="000000" w:sz="4" w:space="0"/>
              <w:left w:val="none" w:color="000000" w:sz="4" w:space="0"/>
              <w:bottom w:val="single" w:color="auto" w:sz="4" w:space="0"/>
              <w:right w:val="single" w:color="auto" w:sz="4" w:space="0"/>
            </w:tcBorders>
            <w:tcW w:w="3016"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树池种植土平整服务</w:t>
            </w:r>
            <w:r/>
          </w:p>
        </w:tc>
        <w:tc>
          <w:tcPr>
            <w:tcBorders>
              <w:top w:val="none" w:color="000000" w:sz="4" w:space="0"/>
              <w:left w:val="none" w:color="000000" w:sz="4" w:space="0"/>
              <w:bottom w:val="single" w:color="auto" w:sz="4" w:space="0"/>
              <w:right w:val="single" w:color="auto" w:sz="4" w:space="0"/>
            </w:tcBorders>
            <w:tcW w:w="864"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m</w:t>
            </w:r>
            <w:r>
              <w:rPr>
                <w:rFonts w:ascii="Times New Roman" w:hAnsi="Times New Roman"/>
                <w:color w:val="auto"/>
                <w:sz w:val="20"/>
                <w:szCs w:val="20"/>
                <w:highlight w:val="none"/>
                <w:vertAlign w:val="superscript"/>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200.00 </w:t>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gridSpan w:val="3"/>
            <w:tcBorders>
              <w:top w:val="single" w:color="auto" w:sz="4" w:space="0"/>
              <w:left w:val="single" w:color="auto" w:sz="4" w:space="0"/>
              <w:bottom w:val="single" w:color="auto" w:sz="4" w:space="0"/>
              <w:right w:val="none" w:color="000000" w:sz="4" w:space="0"/>
            </w:tcBorders>
            <w:tcW w:w="4850" w:type="dxa"/>
            <w:vAlign w:val="center"/>
            <w:textDirection w:val="lrTb"/>
            <w:noWrap/>
          </w:tcPr>
          <w:p>
            <w:pPr>
              <w:jc w:val="right"/>
              <w:widowControl/>
              <w:rPr>
                <w:rFonts w:ascii="Times New Roman" w:hAnsi="Times New Roman"/>
                <w:b/>
                <w:bCs/>
                <w:color w:val="auto"/>
                <w:sz w:val="20"/>
                <w:szCs w:val="20"/>
                <w:highlight w:val="none"/>
              </w:rPr>
            </w:pPr>
            <w:r>
              <w:rPr>
                <w:rFonts w:ascii="Times New Roman" w:hAnsi="Times New Roman"/>
                <w:b/>
                <w:bCs/>
                <w:color w:val="auto"/>
                <w:sz w:val="20"/>
                <w:szCs w:val="20"/>
                <w:highlight w:val="none"/>
              </w:rPr>
              <w:t xml:space="preserve">200-2</w:t>
            </w:r>
            <w:r>
              <w:rPr>
                <w:rFonts w:hint="eastAsia" w:ascii="宋体" w:hAnsi="宋体"/>
                <w:b/>
                <w:bCs/>
                <w:color w:val="auto"/>
                <w:sz w:val="20"/>
                <w:szCs w:val="20"/>
                <w:highlight w:val="none"/>
              </w:rPr>
              <w:t xml:space="preserve">章小计</w:t>
            </w:r>
            <w:r>
              <w:rPr>
                <w:rFonts w:ascii="Times New Roman" w:hAnsi="Times New Roman"/>
                <w:b/>
                <w:bCs/>
                <w:color w:val="auto"/>
                <w:sz w:val="20"/>
                <w:szCs w:val="20"/>
                <w:highlight w:val="none"/>
              </w:rPr>
              <w:t xml:space="preserve">   </w:t>
            </w:r>
            <w:r>
              <w:rPr>
                <w:rFonts w:hint="eastAsia" w:ascii="宋体" w:hAnsi="宋体"/>
                <w:b/>
                <w:bCs/>
                <w:color w:val="auto"/>
                <w:sz w:val="20"/>
                <w:szCs w:val="20"/>
                <w:highlight w:val="none"/>
              </w:rPr>
              <w:t xml:space="preserve">人民币</w:t>
            </w:r>
            <w:r/>
          </w:p>
        </w:tc>
        <w:tc>
          <w:tcPr>
            <w:gridSpan w:val="2"/>
            <w:shd w:val="clear" w:color="000000" w:fill="ffffff"/>
            <w:tcBorders>
              <w:top w:val="single" w:color="auto" w:sz="4" w:space="0"/>
              <w:left w:val="none" w:color="000000" w:sz="4" w:space="0"/>
              <w:bottom w:val="single" w:color="auto" w:sz="4" w:space="0"/>
              <w:right w:val="none" w:color="000000" w:sz="4" w:space="0"/>
            </w:tcBorders>
            <w:tcW w:w="1860" w:type="dxa"/>
            <w:vAlign w:val="center"/>
            <w:textDirection w:val="lrTb"/>
            <w:noWrap/>
          </w:tcPr>
          <w:p>
            <w:pPr>
              <w:jc w:val="center"/>
              <w:widowControl/>
              <w:rPr>
                <w:rFonts w:ascii="Times New Roman" w:hAnsi="Times New Roman"/>
                <w:b/>
                <w:bCs/>
                <w:color w:val="auto"/>
                <w:sz w:val="20"/>
                <w:szCs w:val="20"/>
                <w:highlight w:val="none"/>
                <w:u w:val="single"/>
              </w:rPr>
            </w:pPr>
            <w:r>
              <w:rPr>
                <w:rFonts w:hint="eastAsia" w:ascii="Times New Roman" w:hAnsi="Times New Roman"/>
                <w:b/>
                <w:bCs/>
                <w:color w:val="auto"/>
                <w:sz w:val="20"/>
                <w:szCs w:val="20"/>
                <w:highlight w:val="none"/>
                <w:u w:val="single"/>
              </w:rPr>
              <w:t xml:space="preserve">        </w:t>
            </w:r>
            <w:r>
              <w:rPr>
                <w:rFonts w:ascii="Times New Roman" w:hAnsi="Times New Roman"/>
                <w:b/>
                <w:bCs/>
                <w:color w:val="auto"/>
                <w:sz w:val="20"/>
                <w:szCs w:val="20"/>
                <w:highlight w:val="none"/>
                <w:u w:val="single"/>
              </w:rPr>
              <w:t xml:space="preserve"> </w:t>
            </w:r>
            <w:r/>
          </w:p>
        </w:tc>
        <w:tc>
          <w:tcPr>
            <w:tcBorders>
              <w:top w:val="none" w:color="000000" w:sz="4" w:space="0"/>
              <w:left w:val="none" w:color="000000" w:sz="4" w:space="0"/>
              <w:bottom w:val="single" w:color="auto" w:sz="4" w:space="0"/>
              <w:right w:val="single" w:color="auto" w:sz="4" w:space="0"/>
            </w:tcBorders>
            <w:tcW w:w="1830" w:type="dxa"/>
            <w:vAlign w:val="center"/>
            <w:textDirection w:val="lrTb"/>
            <w:noWrap/>
          </w:tcPr>
          <w:p>
            <w:pPr>
              <w:jc w:val="left"/>
              <w:widowControl/>
              <w:rPr>
                <w:rFonts w:ascii="Times New Roman" w:hAnsi="Times New Roman"/>
                <w:b/>
                <w:bCs/>
                <w:color w:val="auto"/>
                <w:sz w:val="20"/>
                <w:szCs w:val="20"/>
                <w:highlight w:val="none"/>
              </w:rPr>
            </w:pPr>
            <w:r>
              <w:rPr>
                <w:rFonts w:hint="eastAsia" w:ascii="宋体" w:hAnsi="宋体"/>
                <w:b/>
                <w:bCs/>
                <w:color w:val="auto"/>
                <w:sz w:val="20"/>
                <w:szCs w:val="20"/>
                <w:highlight w:val="none"/>
              </w:rPr>
              <w:t xml:space="preserve">元</w:t>
            </w:r>
            <w:r/>
          </w:p>
        </w:tc>
      </w:tr>
    </w:tbl>
    <w:p>
      <w:pPr>
        <w:pStyle w:val="1138"/>
        <w:ind w:left="-288" w:firstLine="285"/>
        <w:spacing w:before="100" w:beforeAutospacing="1" w:line="480" w:lineRule="exact"/>
        <w:widowControl/>
        <w:rPr>
          <w:rFonts w:ascii="仿宋_GB2312" w:eastAsia="仿宋_GB2312"/>
          <w:bCs/>
          <w:color w:val="auto"/>
          <w:sz w:val="24"/>
          <w:highlight w:val="none"/>
        </w:rPr>
      </w:pPr>
      <w:r>
        <w:rPr>
          <w:rFonts w:ascii="仿宋_GB2312" w:eastAsia="仿宋_GB2312"/>
          <w:bCs/>
          <w:color w:val="auto"/>
          <w:sz w:val="24"/>
          <w:highlight w:val="none"/>
        </w:rPr>
      </w:r>
      <w:r/>
    </w:p>
    <w:p>
      <w:pPr>
        <w:pStyle w:val="1138"/>
        <w:ind w:left="-288" w:firstLine="285"/>
        <w:spacing w:before="100" w:beforeAutospacing="1" w:line="480" w:lineRule="exact"/>
        <w:widowControl/>
        <w:rPr>
          <w:rFonts w:ascii="仿宋_GB2312" w:eastAsia="仿宋_GB2312"/>
          <w:bCs/>
          <w:color w:val="auto"/>
          <w:sz w:val="24"/>
          <w:highlight w:val="none"/>
        </w:rPr>
      </w:pPr>
      <w:r>
        <w:rPr>
          <w:rFonts w:ascii="仿宋_GB2312" w:eastAsia="仿宋_GB2312"/>
          <w:bCs/>
          <w:color w:val="auto"/>
          <w:sz w:val="24"/>
          <w:highlight w:val="none"/>
        </w:rPr>
      </w:r>
      <w:r/>
    </w:p>
    <w:p>
      <w:pPr>
        <w:pStyle w:val="1138"/>
        <w:ind w:left="-288" w:firstLine="285"/>
        <w:spacing w:before="100" w:beforeAutospacing="1" w:line="480" w:lineRule="exact"/>
        <w:widowControl/>
        <w:rPr>
          <w:rFonts w:ascii="仿宋_GB2312" w:eastAsia="仿宋_GB2312"/>
          <w:bCs/>
          <w:color w:val="auto"/>
          <w:sz w:val="24"/>
          <w:highlight w:val="none"/>
        </w:rPr>
      </w:pPr>
      <w:r>
        <w:rPr>
          <w:rFonts w:ascii="仿宋_GB2312" w:eastAsia="仿宋_GB2312"/>
          <w:bCs/>
          <w:color w:val="auto"/>
          <w:sz w:val="24"/>
          <w:highlight w:val="none"/>
        </w:rPr>
      </w:r>
      <w:r/>
    </w:p>
    <w:p>
      <w:pPr>
        <w:pStyle w:val="1138"/>
        <w:ind w:left="-288" w:firstLine="285"/>
        <w:spacing w:before="100" w:beforeAutospacing="1" w:line="480" w:lineRule="exact"/>
        <w:widowControl/>
        <w:rPr>
          <w:rFonts w:ascii="仿宋_GB2312" w:eastAsia="仿宋_GB2312"/>
          <w:bCs/>
          <w:color w:val="auto"/>
          <w:sz w:val="24"/>
          <w:highlight w:val="none"/>
        </w:rPr>
      </w:pPr>
      <w:r>
        <w:rPr>
          <w:rFonts w:ascii="仿宋_GB2312" w:eastAsia="仿宋_GB2312"/>
          <w:bCs/>
          <w:color w:val="auto"/>
          <w:sz w:val="24"/>
          <w:highlight w:val="none"/>
        </w:rPr>
      </w:r>
      <w:r/>
    </w:p>
    <w:p>
      <w:pPr>
        <w:pStyle w:val="807"/>
        <w:rPr>
          <w:color w:val="auto"/>
        </w:rPr>
      </w:pPr>
      <w:r>
        <w:rPr>
          <w:rFonts w:hint="eastAsia"/>
          <w:color w:val="auto"/>
        </w:rPr>
        <w:t xml:space="preserve">（五）★第300章 S122辅道（汤山段）日常养护路面服务（基价类）</w:t>
      </w:r>
      <w:r/>
    </w:p>
    <w:tbl>
      <w:tblPr>
        <w:tblStyle w:val="816"/>
        <w:tblW w:w="8540" w:type="dxa"/>
        <w:tblInd w:w="108" w:type="dxa"/>
        <w:tblLayout w:type="autofit"/>
        <w:tblCellMar>
          <w:left w:w="108" w:type="dxa"/>
          <w:top w:w="0" w:type="dxa"/>
          <w:right w:w="108" w:type="dxa"/>
          <w:bottom w:w="0" w:type="dxa"/>
        </w:tblCellMar>
        <w:tblLook w:val="04A0" w:firstRow="1" w:lastRow="0" w:firstColumn="1" w:lastColumn="0" w:noHBand="0" w:noVBand="1"/>
      </w:tblPr>
      <w:tblGrid>
        <w:gridCol w:w="1072"/>
        <w:gridCol w:w="35"/>
        <w:gridCol w:w="2973"/>
        <w:gridCol w:w="467"/>
        <w:gridCol w:w="394"/>
        <w:gridCol w:w="626"/>
        <w:gridCol w:w="302"/>
        <w:gridCol w:w="718"/>
        <w:gridCol w:w="210"/>
        <w:gridCol w:w="810"/>
        <w:gridCol w:w="1020"/>
      </w:tblGrid>
      <w:tr>
        <w:trPr>
          <w:trHeight w:val="345"/>
        </w:trPr>
        <w:tc>
          <w:tcPr>
            <w:gridSpan w:val="11"/>
            <w:tcBorders>
              <w:top w:val="none" w:color="000000" w:sz="4" w:space="0"/>
              <w:left w:val="none" w:color="000000" w:sz="4" w:space="0"/>
              <w:bottom w:val="none" w:color="000000" w:sz="4" w:space="0"/>
              <w:right w:val="none" w:color="000000" w:sz="4" w:space="0"/>
            </w:tcBorders>
            <w:tcW w:w="8540" w:type="dxa"/>
            <w:vAlign w:val="center"/>
            <w:textDirection w:val="lrTb"/>
            <w:noWrap w:val="false"/>
          </w:tcPr>
          <w:p>
            <w:pPr>
              <w:jc w:val="center"/>
              <w:widowControl/>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第3</w:t>
            </w:r>
            <w:r>
              <w:rPr>
                <w:rFonts w:ascii="Times New Roman" w:hAnsi="Times New Roman"/>
                <w:b/>
                <w:bCs/>
                <w:color w:val="auto"/>
                <w:sz w:val="28"/>
                <w:szCs w:val="28"/>
                <w:highlight w:val="none"/>
              </w:rPr>
              <w:t xml:space="preserve">00</w:t>
            </w:r>
            <w:r>
              <w:rPr>
                <w:rFonts w:hint="eastAsia" w:ascii="宋体" w:hAnsi="宋体" w:cs="宋体"/>
                <w:b/>
                <w:bCs/>
                <w:color w:val="auto"/>
                <w:sz w:val="28"/>
                <w:szCs w:val="28"/>
                <w:highlight w:val="none"/>
              </w:rPr>
              <w:t xml:space="preserve">章</w:t>
            </w:r>
            <w:r>
              <w:rPr>
                <w:rFonts w:ascii="Times New Roman" w:hAnsi="Times New Roman"/>
                <w:b/>
                <w:bCs/>
                <w:color w:val="auto"/>
                <w:sz w:val="28"/>
                <w:szCs w:val="28"/>
                <w:highlight w:val="none"/>
              </w:rPr>
              <w:t xml:space="preserve">   S122</w:t>
            </w:r>
            <w:r>
              <w:rPr>
                <w:rFonts w:hint="eastAsia" w:ascii="宋体" w:hAnsi="宋体" w:cs="宋体"/>
                <w:b/>
                <w:bCs/>
                <w:color w:val="auto"/>
                <w:sz w:val="28"/>
                <w:szCs w:val="28"/>
                <w:highlight w:val="none"/>
              </w:rPr>
              <w:t xml:space="preserve">辅道（汤山段）日常养护路面服务（基价类）</w:t>
            </w:r>
            <w:r/>
          </w:p>
        </w:tc>
      </w:tr>
      <w:tr>
        <w:trPr>
          <w:trHeight w:val="501"/>
        </w:trPr>
        <w:tc>
          <w:tcPr>
            <w:gridSpan w:val="2"/>
            <w:tcBorders>
              <w:top w:val="none" w:color="000000" w:sz="4" w:space="0"/>
              <w:left w:val="none" w:color="000000" w:sz="4" w:space="0"/>
              <w:bottom w:val="single" w:color="auto" w:sz="4" w:space="0"/>
              <w:right w:val="none" w:color="000000" w:sz="4" w:space="0"/>
            </w:tcBorders>
            <w:tcW w:w="1020" w:type="dxa"/>
            <w:vAlign w:val="center"/>
            <w:textDirection w:val="lrTb"/>
            <w:noWrap/>
          </w:tcPr>
          <w:p>
            <w:pPr>
              <w:jc w:val="lef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标段号：</w:t>
            </w:r>
            <w:r/>
          </w:p>
        </w:tc>
        <w:tc>
          <w:tcPr>
            <w:gridSpan w:val="2"/>
            <w:tcBorders>
              <w:top w:val="none" w:color="000000" w:sz="4" w:space="0"/>
              <w:left w:val="none" w:color="000000" w:sz="4" w:space="0"/>
              <w:bottom w:val="single" w:color="auto" w:sz="4" w:space="0"/>
              <w:right w:val="none" w:color="000000" w:sz="4" w:space="0"/>
            </w:tcBorders>
            <w:tcW w:w="3440" w:type="dxa"/>
            <w:vAlign w:val="center"/>
            <w:textDirection w:val="lrTb"/>
            <w:noWrap/>
          </w:tcPr>
          <w:p>
            <w:pPr>
              <w:jc w:val="lef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gridSpan w:val="2"/>
            <w:tcBorders>
              <w:top w:val="none" w:color="000000" w:sz="4" w:space="0"/>
              <w:left w:val="none" w:color="000000" w:sz="4" w:space="0"/>
              <w:bottom w:val="none" w:color="000000" w:sz="4" w:space="0"/>
              <w:right w:val="none" w:color="000000" w:sz="4" w:space="0"/>
            </w:tcBorders>
            <w:tcW w:w="1020" w:type="dxa"/>
            <w:vAlign w:val="bottom"/>
            <w:textDirection w:val="lrTb"/>
            <w:noWrap w:val="false"/>
          </w:tcPr>
          <w:p>
            <w:pPr>
              <w:jc w:val="left"/>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gridSpan w:val="2"/>
            <w:tcBorders>
              <w:top w:val="none" w:color="000000" w:sz="4" w:space="0"/>
              <w:left w:val="none" w:color="000000" w:sz="4" w:space="0"/>
              <w:bottom w:val="none" w:color="000000" w:sz="4" w:space="0"/>
              <w:right w:val="none" w:color="000000" w:sz="4" w:space="0"/>
            </w:tcBorders>
            <w:tcW w:w="1020" w:type="dxa"/>
            <w:vAlign w:val="bottom"/>
            <w:textDirection w:val="lrTb"/>
            <w:noWrap w:val="false"/>
          </w:tcPr>
          <w:p>
            <w:pPr>
              <w:jc w:val="left"/>
              <w:widowControl/>
              <w:rPr>
                <w:rFonts w:ascii="Times New Roman" w:hAnsi="Times New Roman" w:eastAsia="Times New Roman"/>
                <w:color w:val="auto"/>
                <w:sz w:val="20"/>
                <w:szCs w:val="20"/>
                <w:highlight w:val="none"/>
              </w:rPr>
            </w:pPr>
            <w:r>
              <w:rPr>
                <w:rFonts w:ascii="Times New Roman" w:hAnsi="Times New Roman" w:eastAsia="Times New Roman"/>
                <w:color w:val="auto"/>
                <w:sz w:val="20"/>
                <w:szCs w:val="20"/>
                <w:highlight w:val="none"/>
              </w:rPr>
            </w:r>
            <w:r/>
          </w:p>
        </w:tc>
        <w:tc>
          <w:tcPr>
            <w:gridSpan w:val="3"/>
            <w:tcBorders>
              <w:top w:val="none" w:color="000000" w:sz="4" w:space="0"/>
              <w:left w:val="none" w:color="000000" w:sz="4" w:space="0"/>
              <w:bottom w:val="none" w:color="000000" w:sz="4" w:space="0"/>
              <w:right w:val="none" w:color="000000" w:sz="4" w:space="0"/>
            </w:tcBorders>
            <w:tcW w:w="2040" w:type="dxa"/>
            <w:vAlign w:val="center"/>
            <w:textDirection w:val="lrTb"/>
            <w:noWrap w:val="false"/>
          </w:tcPr>
          <w:p>
            <w:pPr>
              <w:jc w:val="center"/>
              <w:widowControl/>
              <w:rPr>
                <w:rFonts w:ascii="Times New Roman" w:hAnsi="Times New Roman"/>
                <w:color w:val="auto"/>
                <w:sz w:val="20"/>
                <w:szCs w:val="20"/>
                <w:highlight w:val="none"/>
              </w:rPr>
            </w:pPr>
            <w:r>
              <w:rPr>
                <w:rFonts w:hint="eastAsia" w:ascii="宋体" w:hAnsi="宋体"/>
                <w:color w:val="auto"/>
                <w:sz w:val="20"/>
                <w:szCs w:val="20"/>
                <w:highlight w:val="none"/>
              </w:rPr>
              <w:t xml:space="preserve">货币单位：人民币元</w:t>
            </w:r>
            <w:r/>
          </w:p>
        </w:tc>
      </w:tr>
      <w:tr>
        <w:trPr>
          <w:trHeight w:val="501"/>
        </w:trPr>
        <w:tc>
          <w:tcPr>
            <w:gridSpan w:val="2"/>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b/>
                <w:bCs/>
                <w:color w:val="auto"/>
                <w:sz w:val="20"/>
                <w:szCs w:val="20"/>
                <w:highlight w:val="none"/>
              </w:rPr>
            </w:pPr>
            <w:r>
              <w:rPr>
                <w:rFonts w:hint="eastAsia" w:ascii="宋体" w:hAnsi="宋体"/>
                <w:b/>
                <w:bCs/>
                <w:color w:val="auto"/>
                <w:sz w:val="20"/>
                <w:szCs w:val="20"/>
                <w:highlight w:val="none"/>
              </w:rPr>
              <w:t xml:space="preserve">细目号</w:t>
            </w:r>
            <w:r/>
          </w:p>
        </w:tc>
        <w:tc>
          <w:tcPr>
            <w:gridSpan w:val="2"/>
            <w:tcBorders>
              <w:top w:val="none" w:color="000000" w:sz="4" w:space="0"/>
              <w:left w:val="none" w:color="000000" w:sz="4" w:space="0"/>
              <w:bottom w:val="single" w:color="auto" w:sz="4" w:space="0"/>
              <w:right w:val="single" w:color="auto" w:sz="4" w:space="0"/>
            </w:tcBorders>
            <w:tcW w:w="3440" w:type="dxa"/>
            <w:vAlign w:val="center"/>
            <w:textDirection w:val="lrTb"/>
            <w:noWrap w:val="false"/>
          </w:tcPr>
          <w:p>
            <w:pPr>
              <w:jc w:val="center"/>
              <w:widowControl/>
              <w:rPr>
                <w:rFonts w:ascii="Times New Roman" w:hAnsi="Times New Roman"/>
                <w:b/>
                <w:bCs/>
                <w:color w:val="auto"/>
                <w:sz w:val="20"/>
                <w:szCs w:val="20"/>
                <w:highlight w:val="none"/>
              </w:rPr>
            </w:pPr>
            <w:r>
              <w:rPr>
                <w:rFonts w:hint="eastAsia" w:ascii="宋体" w:hAnsi="宋体"/>
                <w:b/>
                <w:bCs/>
                <w:color w:val="auto"/>
                <w:sz w:val="20"/>
                <w:szCs w:val="20"/>
                <w:highlight w:val="none"/>
              </w:rPr>
              <w:t xml:space="preserve">细目名称</w:t>
            </w:r>
            <w:r/>
          </w:p>
        </w:tc>
        <w:tc>
          <w:tcPr>
            <w:gridSpan w:val="2"/>
            <w:tcBorders>
              <w:top w:val="single" w:color="auto"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b/>
                <w:bCs/>
                <w:color w:val="auto"/>
                <w:sz w:val="20"/>
                <w:szCs w:val="20"/>
                <w:highlight w:val="none"/>
              </w:rPr>
            </w:pPr>
            <w:r>
              <w:rPr>
                <w:rFonts w:hint="eastAsia" w:ascii="宋体" w:hAnsi="宋体"/>
                <w:b/>
                <w:bCs/>
                <w:color w:val="auto"/>
                <w:sz w:val="20"/>
                <w:szCs w:val="20"/>
                <w:highlight w:val="none"/>
              </w:rPr>
              <w:t xml:space="preserve">单位</w:t>
            </w:r>
            <w:r/>
          </w:p>
        </w:tc>
        <w:tc>
          <w:tcPr>
            <w:gridSpan w:val="2"/>
            <w:tcBorders>
              <w:top w:val="single" w:color="auto"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b/>
                <w:bCs/>
                <w:color w:val="auto"/>
                <w:sz w:val="20"/>
                <w:szCs w:val="20"/>
                <w:highlight w:val="none"/>
              </w:rPr>
            </w:pPr>
            <w:r>
              <w:rPr>
                <w:rFonts w:hint="eastAsia" w:ascii="宋体" w:hAnsi="宋体"/>
                <w:b/>
                <w:bCs/>
                <w:color w:val="auto"/>
                <w:sz w:val="20"/>
                <w:szCs w:val="20"/>
                <w:highlight w:val="none"/>
              </w:rPr>
              <w:t xml:space="preserve">数量</w:t>
            </w:r>
            <w:r/>
          </w:p>
        </w:tc>
        <w:tc>
          <w:tcPr>
            <w:gridSpan w:val="2"/>
            <w:tcBorders>
              <w:top w:val="single" w:color="auto"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Times New Roman" w:hAnsi="Times New Roman"/>
                <w:b/>
                <w:bCs/>
                <w:color w:val="auto"/>
                <w:sz w:val="20"/>
                <w:szCs w:val="20"/>
                <w:highlight w:val="none"/>
              </w:rPr>
            </w:pPr>
            <w:r>
              <w:rPr>
                <w:rFonts w:hint="eastAsia" w:ascii="宋体" w:hAnsi="宋体"/>
                <w:b/>
                <w:bCs/>
                <w:color w:val="auto"/>
                <w:sz w:val="20"/>
                <w:szCs w:val="20"/>
                <w:highlight w:val="none"/>
              </w:rPr>
              <w:t xml:space="preserve">单价</w:t>
            </w:r>
            <w:r/>
          </w:p>
        </w:tc>
        <w:tc>
          <w:tcPr>
            <w:tcBorders>
              <w:top w:val="single" w:color="auto"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b/>
                <w:bCs/>
                <w:color w:val="auto"/>
                <w:sz w:val="20"/>
                <w:szCs w:val="20"/>
                <w:highlight w:val="none"/>
              </w:rPr>
            </w:pPr>
            <w:r>
              <w:rPr>
                <w:rFonts w:hint="eastAsia" w:ascii="宋体" w:hAnsi="宋体"/>
                <w:b/>
                <w:bCs/>
                <w:color w:val="auto"/>
                <w:sz w:val="20"/>
                <w:szCs w:val="20"/>
                <w:highlight w:val="none"/>
              </w:rPr>
              <w:t xml:space="preserve">合价</w:t>
            </w:r>
            <w:r/>
          </w:p>
        </w:tc>
      </w:tr>
      <w:tr>
        <w:trPr>
          <w:trHeight w:val="501"/>
        </w:trPr>
        <w:tc>
          <w:tcPr>
            <w:gridSpan w:val="2"/>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S122LMJ</w:t>
            </w:r>
            <w:r/>
          </w:p>
        </w:tc>
        <w:tc>
          <w:tcPr>
            <w:gridSpan w:val="2"/>
            <w:tcBorders>
              <w:top w:val="none" w:color="000000" w:sz="4" w:space="0"/>
              <w:left w:val="none" w:color="000000" w:sz="4" w:space="0"/>
              <w:bottom w:val="single" w:color="auto" w:sz="4" w:space="0"/>
              <w:right w:val="single" w:color="auto" w:sz="4" w:space="0"/>
            </w:tcBorders>
            <w:tcW w:w="3440" w:type="dxa"/>
            <w:vAlign w:val="center"/>
            <w:textDirection w:val="lrTb"/>
            <w:noWrap w:val="false"/>
          </w:tcPr>
          <w:p>
            <w:pPr>
              <w:jc w:val="lef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gridSpan w:val="2"/>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gridSpan w:val="2"/>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gridSpan w:val="2"/>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r>
      <w:tr>
        <w:trPr>
          <w:trHeight w:val="501"/>
        </w:trPr>
        <w:tc>
          <w:tcPr>
            <w:gridSpan w:val="2"/>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-01</w:t>
            </w:r>
            <w:r/>
          </w:p>
        </w:tc>
        <w:tc>
          <w:tcPr>
            <w:gridSpan w:val="2"/>
            <w:tcBorders>
              <w:top w:val="none" w:color="000000" w:sz="4" w:space="0"/>
              <w:left w:val="none" w:color="000000" w:sz="4" w:space="0"/>
              <w:bottom w:val="single" w:color="auto" w:sz="4" w:space="0"/>
              <w:right w:val="single" w:color="auto" w:sz="4" w:space="0"/>
            </w:tcBorders>
            <w:tcW w:w="344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路面保洁服务（人员配合机械保洁）</w:t>
            </w:r>
            <w:r/>
          </w:p>
        </w:tc>
        <w:tc>
          <w:tcPr>
            <w:gridSpan w:val="2"/>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km</w:t>
            </w:r>
            <w:r/>
          </w:p>
        </w:tc>
        <w:tc>
          <w:tcPr>
            <w:gridSpan w:val="2"/>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9125</w:t>
            </w:r>
            <w:r/>
          </w:p>
        </w:tc>
        <w:tc>
          <w:tcPr>
            <w:gridSpan w:val="2"/>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gridSpan w:val="2"/>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-02</w:t>
            </w:r>
            <w:r/>
          </w:p>
        </w:tc>
        <w:tc>
          <w:tcPr>
            <w:gridSpan w:val="2"/>
            <w:tcBorders>
              <w:top w:val="none" w:color="000000" w:sz="4" w:space="0"/>
              <w:left w:val="none" w:color="000000" w:sz="4" w:space="0"/>
              <w:bottom w:val="single" w:color="auto" w:sz="4" w:space="0"/>
              <w:right w:val="single" w:color="auto" w:sz="4" w:space="0"/>
            </w:tcBorders>
            <w:tcW w:w="344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人行道及人行天桥保洁服务（人工保洁类）</w:t>
            </w:r>
            <w:r/>
          </w:p>
        </w:tc>
        <w:tc>
          <w:tcPr>
            <w:gridSpan w:val="2"/>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m</w:t>
            </w:r>
            <w:r>
              <w:rPr>
                <w:rFonts w:ascii="Times New Roman" w:hAnsi="Times New Roman"/>
                <w:color w:val="auto"/>
                <w:sz w:val="20"/>
                <w:szCs w:val="20"/>
                <w:highlight w:val="none"/>
                <w:vertAlign w:val="superscript"/>
              </w:rPr>
              <w:t xml:space="preserve">2</w:t>
            </w:r>
            <w:r/>
          </w:p>
        </w:tc>
        <w:tc>
          <w:tcPr>
            <w:gridSpan w:val="2"/>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69615.11</w:t>
            </w:r>
            <w:r/>
          </w:p>
        </w:tc>
        <w:tc>
          <w:tcPr>
            <w:gridSpan w:val="2"/>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gridSpan w:val="2"/>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gridSpan w:val="2"/>
            <w:tcBorders>
              <w:top w:val="none" w:color="000000" w:sz="4" w:space="0"/>
              <w:left w:val="none" w:color="000000" w:sz="4" w:space="0"/>
              <w:bottom w:val="single" w:color="auto" w:sz="4" w:space="0"/>
              <w:right w:val="single" w:color="auto" w:sz="4" w:space="0"/>
            </w:tcBorders>
            <w:tcW w:w="344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　</w:t>
            </w:r>
            <w:r/>
          </w:p>
        </w:tc>
        <w:tc>
          <w:tcPr>
            <w:gridSpan w:val="2"/>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gridSpan w:val="2"/>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gridSpan w:val="2"/>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r>
      <w:tr>
        <w:trPr>
          <w:trHeight w:val="501"/>
        </w:trPr>
        <w:tc>
          <w:tcPr>
            <w:gridSpan w:val="2"/>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gridSpan w:val="2"/>
            <w:tcBorders>
              <w:top w:val="none" w:color="000000" w:sz="4" w:space="0"/>
              <w:left w:val="none" w:color="000000" w:sz="4" w:space="0"/>
              <w:bottom w:val="single" w:color="auto" w:sz="4" w:space="0"/>
              <w:right w:val="single" w:color="auto" w:sz="4" w:space="0"/>
            </w:tcBorders>
            <w:tcW w:w="344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　</w:t>
            </w:r>
            <w:r/>
          </w:p>
        </w:tc>
        <w:tc>
          <w:tcPr>
            <w:gridSpan w:val="2"/>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gridSpan w:val="2"/>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gridSpan w:val="2"/>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r>
      <w:tr>
        <w:trPr>
          <w:trHeight w:val="501"/>
        </w:trPr>
        <w:tc>
          <w:tcPr>
            <w:gridSpan w:val="2"/>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gridSpan w:val="2"/>
            <w:tcBorders>
              <w:top w:val="none" w:color="000000" w:sz="4" w:space="0"/>
              <w:left w:val="none" w:color="000000" w:sz="4" w:space="0"/>
              <w:bottom w:val="single" w:color="auto" w:sz="4" w:space="0"/>
              <w:right w:val="single" w:color="auto" w:sz="4" w:space="0"/>
            </w:tcBorders>
            <w:tcW w:w="344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　</w:t>
            </w:r>
            <w:r/>
          </w:p>
        </w:tc>
        <w:tc>
          <w:tcPr>
            <w:gridSpan w:val="2"/>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gridSpan w:val="2"/>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gridSpan w:val="2"/>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r>
      <w:tr>
        <w:trPr>
          <w:trHeight w:val="501"/>
        </w:trPr>
        <w:tc>
          <w:tcPr>
            <w:gridSpan w:val="2"/>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gridSpan w:val="2"/>
            <w:tcBorders>
              <w:top w:val="none" w:color="000000" w:sz="4" w:space="0"/>
              <w:left w:val="none" w:color="000000" w:sz="4" w:space="0"/>
              <w:bottom w:val="single" w:color="auto" w:sz="4" w:space="0"/>
              <w:right w:val="single" w:color="auto" w:sz="4" w:space="0"/>
            </w:tcBorders>
            <w:tcW w:w="344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　</w:t>
            </w:r>
            <w:r/>
          </w:p>
        </w:tc>
        <w:tc>
          <w:tcPr>
            <w:gridSpan w:val="2"/>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gridSpan w:val="2"/>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gridSpan w:val="2"/>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r>
      <w:tr>
        <w:trPr>
          <w:trHeight w:val="501"/>
        </w:trPr>
        <w:tc>
          <w:tcPr>
            <w:gridSpan w:val="2"/>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gridSpan w:val="2"/>
            <w:tcBorders>
              <w:top w:val="none" w:color="000000" w:sz="4" w:space="0"/>
              <w:left w:val="none" w:color="000000" w:sz="4" w:space="0"/>
              <w:bottom w:val="single" w:color="auto" w:sz="4" w:space="0"/>
              <w:right w:val="single" w:color="auto" w:sz="4" w:space="0"/>
            </w:tcBorders>
            <w:tcW w:w="344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　</w:t>
            </w:r>
            <w:r/>
          </w:p>
        </w:tc>
        <w:tc>
          <w:tcPr>
            <w:gridSpan w:val="2"/>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gridSpan w:val="2"/>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gridSpan w:val="2"/>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r>
      <w:tr>
        <w:trPr>
          <w:trHeight w:val="501"/>
        </w:trPr>
        <w:tc>
          <w:tcPr>
            <w:gridSpan w:val="6"/>
            <w:tcBorders>
              <w:top w:val="single" w:color="auto" w:sz="4" w:space="0"/>
              <w:left w:val="single" w:color="auto" w:sz="4" w:space="0"/>
              <w:bottom w:val="single" w:color="auto" w:sz="4" w:space="0"/>
              <w:right w:val="none" w:color="000000" w:sz="4" w:space="0"/>
            </w:tcBorders>
            <w:tcW w:w="5480" w:type="dxa"/>
            <w:vAlign w:val="center"/>
            <w:textDirection w:val="lrTb"/>
            <w:noWrap/>
          </w:tcPr>
          <w:p>
            <w:pPr>
              <w:jc w:val="right"/>
              <w:widowControl/>
              <w:rPr>
                <w:rFonts w:ascii="Times New Roman" w:hAnsi="Times New Roman"/>
                <w:b/>
                <w:bCs/>
                <w:color w:val="auto"/>
                <w:sz w:val="20"/>
                <w:szCs w:val="20"/>
                <w:highlight w:val="none"/>
              </w:rPr>
            </w:pPr>
            <w:r>
              <w:rPr>
                <w:rFonts w:ascii="Times New Roman" w:hAnsi="Times New Roman"/>
                <w:b/>
                <w:bCs/>
                <w:color w:val="auto"/>
                <w:sz w:val="20"/>
                <w:szCs w:val="20"/>
                <w:highlight w:val="none"/>
              </w:rPr>
              <w:t xml:space="preserve">300-1</w:t>
            </w:r>
            <w:r>
              <w:rPr>
                <w:rFonts w:hint="eastAsia" w:ascii="宋体" w:hAnsi="宋体"/>
                <w:b/>
                <w:bCs/>
                <w:color w:val="auto"/>
                <w:sz w:val="20"/>
                <w:szCs w:val="20"/>
                <w:highlight w:val="none"/>
              </w:rPr>
              <w:t xml:space="preserve">章小计</w:t>
            </w:r>
            <w:r>
              <w:rPr>
                <w:rFonts w:ascii="Times New Roman" w:hAnsi="Times New Roman"/>
                <w:b/>
                <w:bCs/>
                <w:color w:val="auto"/>
                <w:sz w:val="20"/>
                <w:szCs w:val="20"/>
                <w:highlight w:val="none"/>
              </w:rPr>
              <w:t xml:space="preserve">   </w:t>
            </w:r>
            <w:r>
              <w:rPr>
                <w:rFonts w:hint="eastAsia" w:ascii="宋体" w:hAnsi="宋体"/>
                <w:b/>
                <w:bCs/>
                <w:color w:val="auto"/>
                <w:sz w:val="20"/>
                <w:szCs w:val="20"/>
                <w:highlight w:val="none"/>
              </w:rPr>
              <w:t xml:space="preserve">人民币</w:t>
            </w:r>
            <w:r/>
          </w:p>
        </w:tc>
        <w:tc>
          <w:tcPr>
            <w:gridSpan w:val="4"/>
            <w:tcBorders>
              <w:top w:val="single" w:color="auto" w:sz="4" w:space="0"/>
              <w:left w:val="none" w:color="000000" w:sz="4" w:space="0"/>
              <w:bottom w:val="single" w:color="auto" w:sz="4" w:space="0"/>
              <w:right w:val="none" w:color="000000" w:sz="4" w:space="0"/>
            </w:tcBorders>
            <w:tcW w:w="2040" w:type="dxa"/>
            <w:vAlign w:val="center"/>
            <w:textDirection w:val="lrTb"/>
            <w:noWrap/>
          </w:tcPr>
          <w:p>
            <w:pPr>
              <w:jc w:val="center"/>
              <w:widowControl/>
              <w:rPr>
                <w:rFonts w:ascii="Times New Roman" w:hAnsi="Times New Roman"/>
                <w:b/>
                <w:bCs/>
                <w:color w:val="auto"/>
                <w:sz w:val="20"/>
                <w:szCs w:val="20"/>
                <w:highlight w:val="none"/>
                <w:u w:val="single"/>
              </w:rPr>
            </w:pPr>
            <w:r>
              <w:rPr>
                <w:rFonts w:ascii="Times New Roman" w:hAnsi="Times New Roman"/>
                <w:b/>
                <w:bCs/>
                <w:color w:val="auto"/>
                <w:sz w:val="20"/>
                <w:szCs w:val="20"/>
                <w:highlight w:val="none"/>
                <w:u w:val="single"/>
              </w:rPr>
              <w:t xml:space="preserve"> </w:t>
            </w:r>
            <w:r>
              <w:rPr>
                <w:rFonts w:hint="eastAsia" w:ascii="Times New Roman" w:hAnsi="Times New Roman"/>
                <w:b/>
                <w:bCs/>
                <w:color w:val="auto"/>
                <w:sz w:val="20"/>
                <w:szCs w:val="20"/>
                <w:highlight w:val="none"/>
                <w:u w:val="single"/>
              </w:rPr>
              <w:t xml:space="preserve">           </w:t>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Times New Roman" w:hAnsi="Times New Roman"/>
                <w:b/>
                <w:bCs/>
                <w:color w:val="auto"/>
                <w:sz w:val="20"/>
                <w:szCs w:val="20"/>
                <w:highlight w:val="none"/>
              </w:rPr>
            </w:pPr>
            <w:r>
              <w:rPr>
                <w:rFonts w:hint="eastAsia" w:ascii="宋体" w:hAnsi="宋体"/>
                <w:b/>
                <w:bCs/>
                <w:color w:val="auto"/>
                <w:sz w:val="20"/>
                <w:szCs w:val="20"/>
                <w:highlight w:val="none"/>
              </w:rPr>
              <w:t xml:space="preserve">元</w:t>
            </w:r>
            <w:r/>
          </w:p>
        </w:tc>
      </w:tr>
      <w:tr>
        <w:trPr>
          <w:trHeight w:val="345"/>
        </w:trPr>
        <w:tc>
          <w:tcPr>
            <w:gridSpan w:val="11"/>
            <w:tcBorders>
              <w:top w:val="none" w:color="000000" w:sz="4" w:space="0"/>
              <w:left w:val="none" w:color="000000" w:sz="4" w:space="0"/>
              <w:bottom w:val="none" w:color="000000" w:sz="4" w:space="0"/>
              <w:right w:val="none" w:color="000000" w:sz="4" w:space="0"/>
            </w:tcBorders>
            <w:tcW w:w="8540" w:type="dxa"/>
            <w:vAlign w:val="center"/>
            <w:textDirection w:val="lrTb"/>
            <w:noWrap w:val="false"/>
          </w:tcPr>
          <w:p>
            <w:pPr>
              <w:pStyle w:val="807"/>
              <w:rPr>
                <w:rFonts w:hint="eastAsia"/>
                <w:color w:val="auto"/>
              </w:rPr>
            </w:pPr>
            <w:r/>
            <w:bookmarkStart w:id="116" w:name="RANGE!A1:F13"/>
            <w:r>
              <w:rPr>
                <w:rFonts w:hint="eastAsia"/>
                <w:color w:val="auto"/>
                <w:lang w:eastAsia="zh-CN"/>
              </w:rPr>
              <w:t xml:space="preserve">（</w:t>
            </w:r>
            <w:r>
              <w:rPr>
                <w:rFonts w:hint="eastAsia"/>
                <w:color w:val="auto"/>
              </w:rPr>
              <w:t xml:space="preserve">六）★第300章 S122辅道（汤山段）日常养护路面服务（单价类）</w:t>
            </w:r>
            <w:r/>
          </w:p>
          <w:p>
            <w:pPr>
              <w:jc w:val="center"/>
              <w:widowControl/>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jc w:val="center"/>
              <w:widowControl/>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第3</w:t>
            </w:r>
            <w:r>
              <w:rPr>
                <w:rFonts w:ascii="Times New Roman" w:hAnsi="Times New Roman"/>
                <w:b/>
                <w:bCs/>
                <w:color w:val="auto"/>
                <w:sz w:val="28"/>
                <w:szCs w:val="28"/>
                <w:highlight w:val="none"/>
              </w:rPr>
              <w:t xml:space="preserve">00</w:t>
            </w:r>
            <w:r>
              <w:rPr>
                <w:rFonts w:hint="eastAsia" w:ascii="宋体" w:hAnsi="宋体" w:cs="宋体"/>
                <w:b/>
                <w:bCs/>
                <w:color w:val="auto"/>
                <w:sz w:val="28"/>
                <w:szCs w:val="28"/>
                <w:highlight w:val="none"/>
              </w:rPr>
              <w:t xml:space="preserve">章</w:t>
            </w:r>
            <w:r>
              <w:rPr>
                <w:rFonts w:ascii="Times New Roman" w:hAnsi="Times New Roman"/>
                <w:b/>
                <w:bCs/>
                <w:color w:val="auto"/>
                <w:sz w:val="28"/>
                <w:szCs w:val="28"/>
                <w:highlight w:val="none"/>
              </w:rPr>
              <w:t xml:space="preserve">   S122</w:t>
            </w:r>
            <w:r>
              <w:rPr>
                <w:rFonts w:hint="eastAsia" w:ascii="宋体" w:hAnsi="宋体" w:cs="宋体"/>
                <w:b/>
                <w:bCs/>
                <w:color w:val="auto"/>
                <w:sz w:val="28"/>
                <w:szCs w:val="28"/>
                <w:highlight w:val="none"/>
              </w:rPr>
              <w:t xml:space="preserve">辅道（汤山段）日常养护路面服务（单价类）</w:t>
            </w:r>
            <w:bookmarkEnd w:id="116"/>
            <w:r/>
            <w:r/>
          </w:p>
        </w:tc>
      </w:tr>
      <w:tr>
        <w:trPr>
          <w:trHeight w:val="501"/>
        </w:trPr>
        <w:tc>
          <w:tcPr>
            <w:tcBorders>
              <w:top w:val="none" w:color="000000" w:sz="4" w:space="0"/>
              <w:left w:val="none" w:color="000000" w:sz="4" w:space="0"/>
              <w:bottom w:val="single" w:color="auto" w:sz="4" w:space="0"/>
              <w:right w:val="none" w:color="000000" w:sz="4" w:space="0"/>
            </w:tcBorders>
            <w:tcW w:w="985" w:type="dxa"/>
            <w:vAlign w:val="center"/>
            <w:textDirection w:val="lrTb"/>
            <w:noWrap/>
          </w:tcPr>
          <w:p>
            <w:pPr>
              <w:jc w:val="left"/>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gridSpan w:val="2"/>
            <w:tcBorders>
              <w:top w:val="none" w:color="000000" w:sz="4" w:space="0"/>
              <w:left w:val="none" w:color="000000" w:sz="4" w:space="0"/>
              <w:bottom w:val="single" w:color="auto" w:sz="4" w:space="0"/>
              <w:right w:val="none" w:color="000000" w:sz="4" w:space="0"/>
            </w:tcBorders>
            <w:tcW w:w="3008" w:type="dxa"/>
            <w:vAlign w:val="center"/>
            <w:textDirection w:val="lrTb"/>
            <w:noWrap/>
          </w:tcPr>
          <w:p>
            <w:pPr>
              <w:jc w:val="lef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gridSpan w:val="2"/>
            <w:tcBorders>
              <w:top w:val="none" w:color="000000" w:sz="4" w:space="0"/>
              <w:left w:val="none" w:color="000000" w:sz="4" w:space="0"/>
              <w:bottom w:val="single" w:color="auto" w:sz="4" w:space="0"/>
              <w:right w:val="none" w:color="000000" w:sz="4" w:space="0"/>
            </w:tcBorders>
            <w:tcW w:w="861" w:type="dxa"/>
            <w:vAlign w:val="center"/>
            <w:textDirection w:val="lrTb"/>
            <w:noWrap/>
          </w:tcPr>
          <w:p>
            <w:pPr>
              <w:jc w:val="lef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gridSpan w:val="2"/>
            <w:shd w:val="clear" w:color="000000" w:fill="ffffff"/>
            <w:tcBorders>
              <w:top w:val="none" w:color="000000" w:sz="4" w:space="0"/>
              <w:left w:val="none" w:color="000000" w:sz="4" w:space="0"/>
              <w:bottom w:val="single" w:color="auto" w:sz="4" w:space="0"/>
              <w:right w:val="none" w:color="000000" w:sz="4" w:space="0"/>
            </w:tcBorders>
            <w:tcW w:w="928" w:type="dxa"/>
            <w:vAlign w:val="center"/>
            <w:textDirection w:val="lrTb"/>
            <w:noWrap/>
          </w:tcPr>
          <w:p>
            <w:pPr>
              <w:jc w:val="lef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gridSpan w:val="2"/>
            <w:tcBorders>
              <w:top w:val="none" w:color="000000" w:sz="4" w:space="0"/>
              <w:left w:val="none" w:color="000000" w:sz="4" w:space="0"/>
              <w:bottom w:val="single" w:color="auto" w:sz="4" w:space="0"/>
              <w:right w:val="none" w:color="000000" w:sz="4" w:space="0"/>
            </w:tcBorders>
            <w:tcW w:w="928" w:type="dxa"/>
            <w:vAlign w:val="center"/>
            <w:textDirection w:val="lrTb"/>
            <w:noWrap/>
          </w:tcPr>
          <w:p>
            <w:pPr>
              <w:jc w:val="lef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gridSpan w:val="2"/>
            <w:tcBorders>
              <w:top w:val="none" w:color="000000" w:sz="4" w:space="0"/>
              <w:left w:val="none" w:color="000000" w:sz="4" w:space="0"/>
              <w:bottom w:val="single" w:color="auto" w:sz="4" w:space="0"/>
              <w:right w:val="none" w:color="000000" w:sz="4" w:space="0"/>
            </w:tcBorders>
            <w:tcW w:w="1830" w:type="dxa"/>
            <w:vAlign w:val="center"/>
            <w:textDirection w:val="lrTb"/>
            <w:noWrap/>
          </w:tcPr>
          <w:p>
            <w:pPr>
              <w:jc w:val="right"/>
              <w:widowControl/>
              <w:rPr>
                <w:rFonts w:ascii="Times New Roman" w:hAnsi="Times New Roman"/>
                <w:color w:val="auto"/>
                <w:sz w:val="20"/>
                <w:szCs w:val="20"/>
                <w:highlight w:val="none"/>
              </w:rPr>
            </w:pPr>
            <w:r>
              <w:rPr>
                <w:rFonts w:hint="eastAsia" w:ascii="宋体" w:hAnsi="宋体"/>
                <w:color w:val="auto"/>
                <w:sz w:val="20"/>
                <w:szCs w:val="20"/>
                <w:highlight w:val="none"/>
              </w:rPr>
              <w:t xml:space="preserve">货币单位：人民币元</w:t>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985" w:type="dxa"/>
            <w:vAlign w:val="center"/>
            <w:textDirection w:val="lrTb"/>
            <w:noWrap w:val="false"/>
          </w:tcPr>
          <w:p>
            <w:pPr>
              <w:jc w:val="center"/>
              <w:widowControl/>
              <w:rPr>
                <w:rFonts w:ascii="Times New Roman" w:hAnsi="Times New Roman"/>
                <w:b/>
                <w:bCs/>
                <w:color w:val="auto"/>
                <w:sz w:val="20"/>
                <w:szCs w:val="20"/>
                <w:highlight w:val="none"/>
              </w:rPr>
            </w:pPr>
            <w:r>
              <w:rPr>
                <w:rFonts w:hint="eastAsia" w:ascii="宋体" w:hAnsi="宋体"/>
                <w:b/>
                <w:bCs/>
                <w:color w:val="auto"/>
                <w:sz w:val="20"/>
                <w:szCs w:val="20"/>
                <w:highlight w:val="none"/>
              </w:rPr>
              <w:t xml:space="preserve">细目号</w:t>
            </w:r>
            <w:r/>
          </w:p>
        </w:tc>
        <w:tc>
          <w:tcPr>
            <w:gridSpan w:val="2"/>
            <w:shd w:val="clear" w:color="000000" w:fill="ffffff"/>
            <w:tcBorders>
              <w:top w:val="none" w:color="000000" w:sz="4" w:space="0"/>
              <w:left w:val="none" w:color="000000" w:sz="4" w:space="0"/>
              <w:bottom w:val="single" w:color="auto" w:sz="4" w:space="0"/>
              <w:right w:val="single" w:color="auto" w:sz="4" w:space="0"/>
            </w:tcBorders>
            <w:tcW w:w="3008" w:type="dxa"/>
            <w:vAlign w:val="center"/>
            <w:textDirection w:val="lrTb"/>
            <w:noWrap/>
          </w:tcPr>
          <w:p>
            <w:pPr>
              <w:jc w:val="center"/>
              <w:widowControl/>
              <w:rPr>
                <w:rFonts w:ascii="Times New Roman" w:hAnsi="Times New Roman"/>
                <w:b/>
                <w:bCs/>
                <w:color w:val="auto"/>
                <w:sz w:val="20"/>
                <w:szCs w:val="20"/>
                <w:highlight w:val="none"/>
              </w:rPr>
            </w:pPr>
            <w:r>
              <w:rPr>
                <w:rFonts w:hint="eastAsia" w:ascii="宋体" w:hAnsi="宋体"/>
                <w:b/>
                <w:bCs/>
                <w:color w:val="auto"/>
                <w:sz w:val="20"/>
                <w:szCs w:val="20"/>
                <w:highlight w:val="none"/>
              </w:rPr>
              <w:t xml:space="preserve">细</w:t>
            </w:r>
            <w:r>
              <w:rPr>
                <w:rFonts w:ascii="Times New Roman" w:hAnsi="Times New Roman"/>
                <w:b/>
                <w:bCs/>
                <w:color w:val="auto"/>
                <w:sz w:val="20"/>
                <w:szCs w:val="20"/>
                <w:highlight w:val="none"/>
              </w:rPr>
              <w:t xml:space="preserve">   </w:t>
            </w:r>
            <w:r>
              <w:rPr>
                <w:rFonts w:hint="eastAsia" w:ascii="宋体" w:hAnsi="宋体"/>
                <w:b/>
                <w:bCs/>
                <w:color w:val="auto"/>
                <w:sz w:val="20"/>
                <w:szCs w:val="20"/>
                <w:highlight w:val="none"/>
              </w:rPr>
              <w:t xml:space="preserve">目</w:t>
            </w:r>
            <w:r>
              <w:rPr>
                <w:rFonts w:ascii="Times New Roman" w:hAnsi="Times New Roman"/>
                <w:b/>
                <w:bCs/>
                <w:color w:val="auto"/>
                <w:sz w:val="20"/>
                <w:szCs w:val="20"/>
                <w:highlight w:val="none"/>
              </w:rPr>
              <w:t xml:space="preserve">   </w:t>
            </w:r>
            <w:r>
              <w:rPr>
                <w:rFonts w:hint="eastAsia" w:ascii="宋体" w:hAnsi="宋体"/>
                <w:b/>
                <w:bCs/>
                <w:color w:val="auto"/>
                <w:sz w:val="20"/>
                <w:szCs w:val="20"/>
                <w:highlight w:val="none"/>
              </w:rPr>
              <w:t xml:space="preserve">名</w:t>
            </w:r>
            <w:r>
              <w:rPr>
                <w:rFonts w:ascii="Times New Roman" w:hAnsi="Times New Roman"/>
                <w:b/>
                <w:bCs/>
                <w:color w:val="auto"/>
                <w:sz w:val="20"/>
                <w:szCs w:val="20"/>
                <w:highlight w:val="none"/>
              </w:rPr>
              <w:t xml:space="preserve">    </w:t>
            </w:r>
            <w:r>
              <w:rPr>
                <w:rFonts w:hint="eastAsia" w:ascii="宋体" w:hAnsi="宋体"/>
                <w:b/>
                <w:bCs/>
                <w:color w:val="auto"/>
                <w:sz w:val="20"/>
                <w:szCs w:val="20"/>
                <w:highlight w:val="none"/>
              </w:rPr>
              <w:t xml:space="preserve">称</w:t>
            </w:r>
            <w:r/>
          </w:p>
        </w:tc>
        <w:tc>
          <w:tcPr>
            <w:gridSpan w:val="2"/>
            <w:shd w:val="clear" w:color="000000" w:fill="ffffff"/>
            <w:tcBorders>
              <w:top w:val="none" w:color="000000" w:sz="4" w:space="0"/>
              <w:left w:val="none" w:color="000000" w:sz="4" w:space="0"/>
              <w:bottom w:val="single" w:color="auto" w:sz="4" w:space="0"/>
              <w:right w:val="single" w:color="auto" w:sz="4" w:space="0"/>
            </w:tcBorders>
            <w:tcW w:w="861" w:type="dxa"/>
            <w:vAlign w:val="center"/>
            <w:textDirection w:val="lrTb"/>
            <w:noWrap/>
          </w:tcPr>
          <w:p>
            <w:pPr>
              <w:jc w:val="center"/>
              <w:widowControl/>
              <w:rPr>
                <w:rFonts w:ascii="Times New Roman" w:hAnsi="Times New Roman"/>
                <w:b/>
                <w:bCs/>
                <w:color w:val="auto"/>
                <w:sz w:val="20"/>
                <w:szCs w:val="20"/>
                <w:highlight w:val="none"/>
              </w:rPr>
            </w:pPr>
            <w:r>
              <w:rPr>
                <w:rFonts w:hint="eastAsia" w:ascii="宋体" w:hAnsi="宋体"/>
                <w:b/>
                <w:bCs/>
                <w:color w:val="auto"/>
                <w:sz w:val="20"/>
                <w:szCs w:val="20"/>
                <w:highlight w:val="none"/>
              </w:rPr>
              <w:t xml:space="preserve">单位</w:t>
            </w:r>
            <w:r/>
          </w:p>
        </w:tc>
        <w:tc>
          <w:tcPr>
            <w:gridSpan w:val="2"/>
            <w:shd w:val="clear" w:color="000000" w:fill="ffffff"/>
            <w:tcBorders>
              <w:top w:val="none" w:color="000000" w:sz="4" w:space="0"/>
              <w:left w:val="none" w:color="000000" w:sz="4" w:space="0"/>
              <w:bottom w:val="single" w:color="auto" w:sz="4" w:space="0"/>
              <w:right w:val="single" w:color="auto" w:sz="4" w:space="0"/>
            </w:tcBorders>
            <w:tcW w:w="928" w:type="dxa"/>
            <w:vAlign w:val="center"/>
            <w:textDirection w:val="lrTb"/>
            <w:noWrap w:val="false"/>
          </w:tcPr>
          <w:p>
            <w:pPr>
              <w:jc w:val="center"/>
              <w:widowControl/>
              <w:rPr>
                <w:rFonts w:ascii="Times New Roman" w:hAnsi="Times New Roman"/>
                <w:b/>
                <w:bCs/>
                <w:color w:val="auto"/>
                <w:sz w:val="20"/>
                <w:szCs w:val="20"/>
                <w:highlight w:val="none"/>
              </w:rPr>
            </w:pPr>
            <w:r>
              <w:rPr>
                <w:rFonts w:hint="eastAsia" w:ascii="宋体" w:hAnsi="宋体"/>
                <w:b/>
                <w:bCs/>
                <w:color w:val="auto"/>
                <w:sz w:val="20"/>
                <w:szCs w:val="20"/>
                <w:highlight w:val="none"/>
              </w:rPr>
              <w:t xml:space="preserve">数量</w:t>
            </w:r>
            <w:r/>
          </w:p>
        </w:tc>
        <w:tc>
          <w:tcPr>
            <w:gridSpan w:val="2"/>
            <w:shd w:val="clear" w:color="000000" w:fill="ffffff"/>
            <w:tcBorders>
              <w:top w:val="none" w:color="000000" w:sz="4" w:space="0"/>
              <w:left w:val="none" w:color="000000" w:sz="4" w:space="0"/>
              <w:bottom w:val="single" w:color="auto" w:sz="4" w:space="0"/>
              <w:right w:val="single" w:color="auto" w:sz="4" w:space="0"/>
            </w:tcBorders>
            <w:tcW w:w="928" w:type="dxa"/>
            <w:vAlign w:val="center"/>
            <w:textDirection w:val="lrTb"/>
            <w:noWrap/>
          </w:tcPr>
          <w:p>
            <w:pPr>
              <w:jc w:val="center"/>
              <w:widowControl/>
              <w:rPr>
                <w:rFonts w:ascii="Times New Roman" w:hAnsi="Times New Roman"/>
                <w:b/>
                <w:bCs/>
                <w:color w:val="auto"/>
                <w:sz w:val="20"/>
                <w:szCs w:val="20"/>
                <w:highlight w:val="none"/>
              </w:rPr>
            </w:pPr>
            <w:r>
              <w:rPr>
                <w:rFonts w:hint="eastAsia" w:ascii="宋体" w:hAnsi="宋体"/>
                <w:b/>
                <w:bCs/>
                <w:color w:val="auto"/>
                <w:sz w:val="20"/>
                <w:szCs w:val="20"/>
                <w:highlight w:val="none"/>
              </w:rPr>
              <w:t xml:space="preserve">单价</w:t>
            </w:r>
            <w:r/>
          </w:p>
        </w:tc>
        <w:tc>
          <w:tcPr>
            <w:gridSpan w:val="2"/>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tcPr>
          <w:p>
            <w:pPr>
              <w:jc w:val="center"/>
              <w:widowControl/>
              <w:rPr>
                <w:rFonts w:ascii="Times New Roman" w:hAnsi="Times New Roman"/>
                <w:b/>
                <w:bCs/>
                <w:color w:val="auto"/>
                <w:sz w:val="20"/>
                <w:szCs w:val="20"/>
                <w:highlight w:val="none"/>
              </w:rPr>
            </w:pPr>
            <w:r>
              <w:rPr>
                <w:rFonts w:hint="eastAsia" w:ascii="宋体" w:hAnsi="宋体"/>
                <w:b/>
                <w:bCs/>
                <w:color w:val="auto"/>
                <w:sz w:val="20"/>
                <w:szCs w:val="20"/>
                <w:highlight w:val="none"/>
              </w:rPr>
              <w:t xml:space="preserve">合价</w:t>
            </w:r>
            <w:r/>
          </w:p>
        </w:tc>
      </w:tr>
      <w:tr>
        <w:trPr>
          <w:trHeight w:val="501"/>
        </w:trPr>
        <w:tc>
          <w:tcPr>
            <w:tcBorders>
              <w:top w:val="none" w:color="000000" w:sz="4" w:space="0"/>
              <w:left w:val="single" w:color="auto" w:sz="4" w:space="0"/>
              <w:bottom w:val="single" w:color="auto" w:sz="4" w:space="0"/>
              <w:right w:val="single" w:color="auto" w:sz="4" w:space="0"/>
            </w:tcBorders>
            <w:tcW w:w="985"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S122LMD</w:t>
            </w:r>
            <w:r/>
          </w:p>
        </w:tc>
        <w:tc>
          <w:tcPr>
            <w:gridSpan w:val="2"/>
            <w:tcBorders>
              <w:top w:val="none" w:color="000000" w:sz="4" w:space="0"/>
              <w:left w:val="none" w:color="000000" w:sz="4" w:space="0"/>
              <w:bottom w:val="single" w:color="auto" w:sz="4" w:space="0"/>
              <w:right w:val="single" w:color="auto" w:sz="4" w:space="0"/>
            </w:tcBorders>
            <w:tcW w:w="3008" w:type="dxa"/>
            <w:vAlign w:val="center"/>
            <w:textDirection w:val="lrTb"/>
            <w:noWrap w:val="false"/>
          </w:tcPr>
          <w:p>
            <w:pPr>
              <w:jc w:val="lef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928"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928"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985"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-01</w:t>
            </w:r>
            <w:r/>
          </w:p>
        </w:tc>
        <w:tc>
          <w:tcPr>
            <w:gridSpan w:val="2"/>
            <w:tcBorders>
              <w:top w:val="none" w:color="000000" w:sz="4" w:space="0"/>
              <w:left w:val="none" w:color="000000" w:sz="4" w:space="0"/>
              <w:bottom w:val="single" w:color="auto" w:sz="4" w:space="0"/>
              <w:right w:val="single" w:color="auto" w:sz="4" w:space="0"/>
            </w:tcBorders>
            <w:tcW w:w="3008"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沥青路面病害修复服务</w:t>
            </w:r>
            <w:r/>
          </w:p>
        </w:tc>
        <w:tc>
          <w:tcPr>
            <w:gridSpan w:val="2"/>
            <w:shd w:val="clear" w:color="000000" w:fill="ffffff"/>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928"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928"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r>
      <w:tr>
        <w:trPr>
          <w:trHeight w:val="501"/>
        </w:trPr>
        <w:tc>
          <w:tcPr>
            <w:tcBorders>
              <w:top w:val="none" w:color="000000" w:sz="4" w:space="0"/>
              <w:left w:val="single" w:color="auto" w:sz="4" w:space="0"/>
              <w:bottom w:val="single" w:color="auto" w:sz="4" w:space="0"/>
              <w:right w:val="single" w:color="auto" w:sz="4" w:space="0"/>
            </w:tcBorders>
            <w:tcW w:w="985"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-a</w:t>
            </w:r>
            <w:r/>
          </w:p>
        </w:tc>
        <w:tc>
          <w:tcPr>
            <w:gridSpan w:val="2"/>
            <w:tcBorders>
              <w:top w:val="none" w:color="000000" w:sz="4" w:space="0"/>
              <w:left w:val="none" w:color="000000" w:sz="4" w:space="0"/>
              <w:bottom w:val="single" w:color="auto" w:sz="4" w:space="0"/>
              <w:right w:val="single" w:color="auto" w:sz="4" w:space="0"/>
            </w:tcBorders>
            <w:tcW w:w="3008"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沥青路面铣刨服务（含弃运）</w:t>
            </w:r>
            <w:r/>
          </w:p>
        </w:tc>
        <w:tc>
          <w:tcPr>
            <w:gridSpan w:val="2"/>
            <w:shd w:val="clear" w:color="000000" w:fill="ffffff"/>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m</w:t>
            </w:r>
            <w:r>
              <w:rPr>
                <w:rFonts w:ascii="Times New Roman" w:hAnsi="Times New Roman"/>
                <w:color w:val="auto"/>
                <w:sz w:val="20"/>
                <w:szCs w:val="20"/>
                <w:highlight w:val="none"/>
                <w:vertAlign w:val="superscript"/>
              </w:rPr>
              <w:t xml:space="preserve">3</w:t>
            </w:r>
            <w:r/>
          </w:p>
        </w:tc>
        <w:tc>
          <w:tcPr>
            <w:gridSpan w:val="2"/>
            <w:shd w:val="clear" w:color="000000" w:fill="ffffff"/>
            <w:tcBorders>
              <w:top w:val="none" w:color="000000" w:sz="4" w:space="0"/>
              <w:left w:val="none" w:color="000000" w:sz="4" w:space="0"/>
              <w:bottom w:val="single" w:color="auto" w:sz="4" w:space="0"/>
              <w:right w:val="single" w:color="auto" w:sz="4" w:space="0"/>
            </w:tcBorders>
            <w:tcW w:w="928"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500.00 </w:t>
            </w:r>
            <w:r/>
          </w:p>
        </w:tc>
        <w:tc>
          <w:tcPr>
            <w:gridSpan w:val="2"/>
            <w:shd w:val="clear" w:color="000000" w:fill="ffffff"/>
            <w:tcBorders>
              <w:top w:val="none" w:color="000000" w:sz="4" w:space="0"/>
              <w:left w:val="none" w:color="000000" w:sz="4" w:space="0"/>
              <w:bottom w:val="single" w:color="auto" w:sz="4" w:space="0"/>
              <w:right w:val="single" w:color="auto" w:sz="4" w:space="0"/>
            </w:tcBorders>
            <w:tcW w:w="928"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gridSpan w:val="2"/>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tcBorders>
              <w:top w:val="none" w:color="000000" w:sz="4" w:space="0"/>
              <w:left w:val="single" w:color="auto" w:sz="4" w:space="0"/>
              <w:bottom w:val="single" w:color="auto" w:sz="4" w:space="0"/>
              <w:right w:val="single" w:color="auto" w:sz="4" w:space="0"/>
            </w:tcBorders>
            <w:tcW w:w="985"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-b</w:t>
            </w:r>
            <w:r/>
          </w:p>
        </w:tc>
        <w:tc>
          <w:tcPr>
            <w:gridSpan w:val="2"/>
            <w:tcBorders>
              <w:top w:val="none" w:color="000000" w:sz="4" w:space="0"/>
              <w:left w:val="none" w:color="000000" w:sz="4" w:space="0"/>
              <w:bottom w:val="single" w:color="auto" w:sz="4" w:space="0"/>
              <w:right w:val="single" w:color="auto" w:sz="4" w:space="0"/>
            </w:tcBorders>
            <w:tcW w:w="3008"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沥青路面坑槽、沉陷等病害修补服务（切割修补）</w:t>
            </w:r>
            <w:r/>
          </w:p>
        </w:tc>
        <w:tc>
          <w:tcPr>
            <w:gridSpan w:val="2"/>
            <w:shd w:val="clear" w:color="000000" w:fill="ffffff"/>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m</w:t>
            </w:r>
            <w:r>
              <w:rPr>
                <w:rFonts w:ascii="Times New Roman" w:hAnsi="Times New Roman"/>
                <w:color w:val="auto"/>
                <w:sz w:val="20"/>
                <w:szCs w:val="20"/>
                <w:highlight w:val="none"/>
                <w:vertAlign w:val="superscript"/>
              </w:rPr>
              <w:t xml:space="preserve">2</w:t>
            </w:r>
            <w:r/>
          </w:p>
        </w:tc>
        <w:tc>
          <w:tcPr>
            <w:gridSpan w:val="2"/>
            <w:shd w:val="clear" w:color="000000" w:fill="ffffff"/>
            <w:tcBorders>
              <w:top w:val="none" w:color="000000" w:sz="4" w:space="0"/>
              <w:left w:val="none" w:color="000000" w:sz="4" w:space="0"/>
              <w:bottom w:val="single" w:color="auto" w:sz="4" w:space="0"/>
              <w:right w:val="single" w:color="auto" w:sz="4" w:space="0"/>
            </w:tcBorders>
            <w:tcW w:w="928"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100.00 </w:t>
            </w:r>
            <w:r/>
          </w:p>
        </w:tc>
        <w:tc>
          <w:tcPr>
            <w:gridSpan w:val="2"/>
            <w:shd w:val="clear" w:color="000000" w:fill="ffffff"/>
            <w:tcBorders>
              <w:top w:val="none" w:color="000000" w:sz="4" w:space="0"/>
              <w:left w:val="none" w:color="000000" w:sz="4" w:space="0"/>
              <w:bottom w:val="single" w:color="auto" w:sz="4" w:space="0"/>
              <w:right w:val="single" w:color="auto" w:sz="4" w:space="0"/>
            </w:tcBorders>
            <w:tcW w:w="928"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gridSpan w:val="2"/>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tcBorders>
              <w:top w:val="none" w:color="000000" w:sz="4" w:space="0"/>
              <w:left w:val="single" w:color="auto" w:sz="4" w:space="0"/>
              <w:bottom w:val="single" w:color="auto" w:sz="4" w:space="0"/>
              <w:right w:val="single" w:color="auto" w:sz="4" w:space="0"/>
            </w:tcBorders>
            <w:tcW w:w="985"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-c</w:t>
            </w:r>
            <w:r/>
          </w:p>
        </w:tc>
        <w:tc>
          <w:tcPr>
            <w:gridSpan w:val="2"/>
            <w:tcBorders>
              <w:top w:val="none" w:color="000000" w:sz="4" w:space="0"/>
              <w:left w:val="none" w:color="000000" w:sz="4" w:space="0"/>
              <w:bottom w:val="single" w:color="auto" w:sz="4" w:space="0"/>
              <w:right w:val="single" w:color="auto" w:sz="4" w:space="0"/>
            </w:tcBorders>
            <w:tcW w:w="3008"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沥青路面裂缝机械扩缝填缝料修补服务</w:t>
            </w:r>
            <w:r/>
          </w:p>
        </w:tc>
        <w:tc>
          <w:tcPr>
            <w:gridSpan w:val="2"/>
            <w:shd w:val="clear" w:color="000000" w:fill="ffffff"/>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m</w:t>
            </w:r>
            <w:r/>
          </w:p>
        </w:tc>
        <w:tc>
          <w:tcPr>
            <w:gridSpan w:val="2"/>
            <w:shd w:val="clear" w:color="000000" w:fill="ffffff"/>
            <w:tcBorders>
              <w:top w:val="none" w:color="000000" w:sz="4" w:space="0"/>
              <w:left w:val="none" w:color="000000" w:sz="4" w:space="0"/>
              <w:bottom w:val="single" w:color="auto" w:sz="4" w:space="0"/>
              <w:right w:val="single" w:color="auto" w:sz="4" w:space="0"/>
            </w:tcBorders>
            <w:tcW w:w="928"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4000.00 </w:t>
            </w:r>
            <w:r/>
          </w:p>
        </w:tc>
        <w:tc>
          <w:tcPr>
            <w:gridSpan w:val="2"/>
            <w:shd w:val="clear" w:color="000000" w:fill="ffffff"/>
            <w:tcBorders>
              <w:top w:val="none" w:color="000000" w:sz="4" w:space="0"/>
              <w:left w:val="none" w:color="000000" w:sz="4" w:space="0"/>
              <w:bottom w:val="single" w:color="auto" w:sz="4" w:space="0"/>
              <w:right w:val="single" w:color="auto" w:sz="4" w:space="0"/>
            </w:tcBorders>
            <w:tcW w:w="928"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gridSpan w:val="2"/>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tcBorders>
              <w:top w:val="none" w:color="000000" w:sz="4" w:space="0"/>
              <w:left w:val="single" w:color="auto" w:sz="4" w:space="0"/>
              <w:bottom w:val="single" w:color="auto" w:sz="4" w:space="0"/>
              <w:right w:val="single" w:color="auto" w:sz="4" w:space="0"/>
            </w:tcBorders>
            <w:tcW w:w="985"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-d</w:t>
            </w:r>
            <w:r/>
          </w:p>
        </w:tc>
        <w:tc>
          <w:tcPr>
            <w:gridSpan w:val="2"/>
            <w:tcBorders>
              <w:top w:val="none" w:color="000000" w:sz="4" w:space="0"/>
              <w:left w:val="none" w:color="000000" w:sz="4" w:space="0"/>
              <w:bottom w:val="single" w:color="auto" w:sz="4" w:space="0"/>
              <w:right w:val="single" w:color="auto" w:sz="4" w:space="0"/>
            </w:tcBorders>
            <w:tcW w:w="3008"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下封层服务</w:t>
            </w:r>
            <w:r/>
          </w:p>
        </w:tc>
        <w:tc>
          <w:tcPr>
            <w:gridSpan w:val="2"/>
            <w:shd w:val="clear" w:color="000000" w:fill="ffffff"/>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m</w:t>
            </w:r>
            <w:r>
              <w:rPr>
                <w:rFonts w:ascii="Times New Roman" w:hAnsi="Times New Roman"/>
                <w:color w:val="auto"/>
                <w:sz w:val="20"/>
                <w:szCs w:val="20"/>
                <w:highlight w:val="none"/>
                <w:vertAlign w:val="superscript"/>
              </w:rPr>
              <w:t xml:space="preserve">2</w:t>
            </w:r>
            <w:r/>
          </w:p>
        </w:tc>
        <w:tc>
          <w:tcPr>
            <w:gridSpan w:val="2"/>
            <w:shd w:val="clear" w:color="000000" w:fill="ffffff"/>
            <w:tcBorders>
              <w:top w:val="none" w:color="000000" w:sz="4" w:space="0"/>
              <w:left w:val="none" w:color="000000" w:sz="4" w:space="0"/>
              <w:bottom w:val="single" w:color="auto" w:sz="4" w:space="0"/>
              <w:right w:val="single" w:color="auto" w:sz="4" w:space="0"/>
            </w:tcBorders>
            <w:tcW w:w="928"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5500.00 </w:t>
            </w:r>
            <w:r/>
          </w:p>
        </w:tc>
        <w:tc>
          <w:tcPr>
            <w:gridSpan w:val="2"/>
            <w:shd w:val="clear" w:color="000000" w:fill="ffffff"/>
            <w:tcBorders>
              <w:top w:val="none" w:color="000000" w:sz="4" w:space="0"/>
              <w:left w:val="none" w:color="000000" w:sz="4" w:space="0"/>
              <w:bottom w:val="single" w:color="auto" w:sz="4" w:space="0"/>
              <w:right w:val="single" w:color="auto" w:sz="4" w:space="0"/>
            </w:tcBorders>
            <w:tcW w:w="928"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gridSpan w:val="2"/>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tcBorders>
              <w:top w:val="none" w:color="000000" w:sz="4" w:space="0"/>
              <w:left w:val="single" w:color="auto" w:sz="4" w:space="0"/>
              <w:bottom w:val="single" w:color="auto" w:sz="4" w:space="0"/>
              <w:right w:val="single" w:color="auto" w:sz="4" w:space="0"/>
            </w:tcBorders>
            <w:tcW w:w="985"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-e</w:t>
            </w:r>
            <w:r/>
          </w:p>
        </w:tc>
        <w:tc>
          <w:tcPr>
            <w:gridSpan w:val="2"/>
            <w:tcBorders>
              <w:top w:val="none" w:color="000000" w:sz="4" w:space="0"/>
              <w:left w:val="none" w:color="000000" w:sz="4" w:space="0"/>
              <w:bottom w:val="single" w:color="auto" w:sz="4" w:space="0"/>
              <w:right w:val="single" w:color="auto" w:sz="4" w:space="0"/>
            </w:tcBorders>
            <w:tcW w:w="3008"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粘层油服务</w:t>
            </w:r>
            <w:r/>
          </w:p>
        </w:tc>
        <w:tc>
          <w:tcPr>
            <w:gridSpan w:val="2"/>
            <w:shd w:val="clear" w:color="000000" w:fill="ffffff"/>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m</w:t>
            </w:r>
            <w:r>
              <w:rPr>
                <w:rFonts w:ascii="Times New Roman" w:hAnsi="Times New Roman"/>
                <w:color w:val="auto"/>
                <w:sz w:val="20"/>
                <w:szCs w:val="20"/>
                <w:highlight w:val="none"/>
                <w:vertAlign w:val="superscript"/>
              </w:rPr>
              <w:t xml:space="preserve">2</w:t>
            </w:r>
            <w:r/>
          </w:p>
        </w:tc>
        <w:tc>
          <w:tcPr>
            <w:gridSpan w:val="2"/>
            <w:shd w:val="clear" w:color="000000" w:fill="ffffff"/>
            <w:tcBorders>
              <w:top w:val="none" w:color="000000" w:sz="4" w:space="0"/>
              <w:left w:val="none" w:color="000000" w:sz="4" w:space="0"/>
              <w:bottom w:val="single" w:color="auto" w:sz="4" w:space="0"/>
              <w:right w:val="single" w:color="auto" w:sz="4" w:space="0"/>
            </w:tcBorders>
            <w:tcW w:w="928"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5500.00 </w:t>
            </w:r>
            <w:r/>
          </w:p>
        </w:tc>
        <w:tc>
          <w:tcPr>
            <w:gridSpan w:val="2"/>
            <w:shd w:val="clear" w:color="000000" w:fill="ffffff"/>
            <w:tcBorders>
              <w:top w:val="none" w:color="000000" w:sz="4" w:space="0"/>
              <w:left w:val="none" w:color="000000" w:sz="4" w:space="0"/>
              <w:bottom w:val="single" w:color="auto" w:sz="4" w:space="0"/>
              <w:right w:val="single" w:color="auto" w:sz="4" w:space="0"/>
            </w:tcBorders>
            <w:tcW w:w="928"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gridSpan w:val="2"/>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tcBorders>
              <w:top w:val="none" w:color="000000" w:sz="4" w:space="0"/>
              <w:left w:val="single" w:color="auto" w:sz="4" w:space="0"/>
              <w:bottom w:val="single" w:color="auto" w:sz="4" w:space="0"/>
              <w:right w:val="single" w:color="auto" w:sz="4" w:space="0"/>
            </w:tcBorders>
            <w:tcW w:w="985"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-f</w:t>
            </w:r>
            <w:r/>
          </w:p>
        </w:tc>
        <w:tc>
          <w:tcPr>
            <w:gridSpan w:val="2"/>
            <w:tcBorders>
              <w:top w:val="none" w:color="000000" w:sz="4" w:space="0"/>
              <w:left w:val="none" w:color="000000" w:sz="4" w:space="0"/>
              <w:bottom w:val="single" w:color="auto" w:sz="4" w:space="0"/>
              <w:right w:val="single" w:color="auto" w:sz="4" w:space="0"/>
            </w:tcBorders>
            <w:tcW w:w="3008" w:type="dxa"/>
            <w:vAlign w:val="center"/>
            <w:textDirection w:val="lrTb"/>
            <w:noWrap w:val="false"/>
          </w:tcPr>
          <w:p>
            <w:pPr>
              <w:jc w:val="lef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Sup-13</w:t>
            </w:r>
            <w:r>
              <w:rPr>
                <w:rFonts w:hint="eastAsia" w:ascii="宋体" w:hAnsi="宋体"/>
                <w:color w:val="auto"/>
                <w:sz w:val="20"/>
                <w:szCs w:val="20"/>
                <w:highlight w:val="none"/>
              </w:rPr>
              <w:t xml:space="preserve">沥青砼加铺服务</w:t>
            </w:r>
            <w:r/>
          </w:p>
        </w:tc>
        <w:tc>
          <w:tcPr>
            <w:gridSpan w:val="2"/>
            <w:shd w:val="clear" w:color="000000" w:fill="ffffff"/>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m</w:t>
            </w:r>
            <w:r>
              <w:rPr>
                <w:rFonts w:ascii="Times New Roman" w:hAnsi="Times New Roman"/>
                <w:color w:val="auto"/>
                <w:sz w:val="20"/>
                <w:szCs w:val="20"/>
                <w:highlight w:val="none"/>
                <w:vertAlign w:val="superscript"/>
              </w:rPr>
              <w:t xml:space="preserve">3</w:t>
            </w:r>
            <w:r/>
          </w:p>
        </w:tc>
        <w:tc>
          <w:tcPr>
            <w:gridSpan w:val="2"/>
            <w:shd w:val="clear" w:color="000000" w:fill="ffffff"/>
            <w:tcBorders>
              <w:top w:val="none" w:color="000000" w:sz="4" w:space="0"/>
              <w:left w:val="none" w:color="000000" w:sz="4" w:space="0"/>
              <w:bottom w:val="single" w:color="auto" w:sz="4" w:space="0"/>
              <w:right w:val="single" w:color="auto" w:sz="4" w:space="0"/>
            </w:tcBorders>
            <w:tcW w:w="928"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200.00 </w:t>
            </w:r>
            <w:r/>
          </w:p>
        </w:tc>
        <w:tc>
          <w:tcPr>
            <w:gridSpan w:val="2"/>
            <w:shd w:val="clear" w:color="000000" w:fill="ffffff"/>
            <w:tcBorders>
              <w:top w:val="none" w:color="000000" w:sz="4" w:space="0"/>
              <w:left w:val="none" w:color="000000" w:sz="4" w:space="0"/>
              <w:bottom w:val="single" w:color="auto" w:sz="4" w:space="0"/>
              <w:right w:val="single" w:color="auto" w:sz="4" w:space="0"/>
            </w:tcBorders>
            <w:tcW w:w="928"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gridSpan w:val="2"/>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tcBorders>
              <w:top w:val="none" w:color="000000" w:sz="4" w:space="0"/>
              <w:left w:val="single" w:color="auto" w:sz="4" w:space="0"/>
              <w:bottom w:val="single" w:color="auto" w:sz="4" w:space="0"/>
              <w:right w:val="single" w:color="auto" w:sz="4" w:space="0"/>
            </w:tcBorders>
            <w:tcW w:w="985"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-g</w:t>
            </w:r>
            <w:r/>
          </w:p>
        </w:tc>
        <w:tc>
          <w:tcPr>
            <w:gridSpan w:val="2"/>
            <w:tcBorders>
              <w:top w:val="none" w:color="000000" w:sz="4" w:space="0"/>
              <w:left w:val="none" w:color="000000" w:sz="4" w:space="0"/>
              <w:bottom w:val="single" w:color="auto" w:sz="4" w:space="0"/>
              <w:right w:val="single" w:color="auto" w:sz="4" w:space="0"/>
            </w:tcBorders>
            <w:tcW w:w="3008" w:type="dxa"/>
            <w:vAlign w:val="center"/>
            <w:textDirection w:val="lrTb"/>
            <w:noWrap w:val="false"/>
          </w:tcPr>
          <w:p>
            <w:pPr>
              <w:jc w:val="lef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Sup-20</w:t>
            </w:r>
            <w:r>
              <w:rPr>
                <w:rFonts w:hint="eastAsia" w:ascii="宋体" w:hAnsi="宋体"/>
                <w:color w:val="auto"/>
                <w:sz w:val="20"/>
                <w:szCs w:val="20"/>
                <w:highlight w:val="none"/>
              </w:rPr>
              <w:t xml:space="preserve">沥青砼回填服务</w:t>
            </w:r>
            <w:r/>
          </w:p>
        </w:tc>
        <w:tc>
          <w:tcPr>
            <w:gridSpan w:val="2"/>
            <w:shd w:val="clear" w:color="000000" w:fill="ffffff"/>
            <w:tcBorders>
              <w:top w:val="none" w:color="000000" w:sz="4" w:space="0"/>
              <w:left w:val="none" w:color="000000" w:sz="4" w:space="0"/>
              <w:bottom w:val="single" w:color="auto" w:sz="4" w:space="0"/>
              <w:right w:val="single" w:color="auto" w:sz="4" w:space="0"/>
            </w:tcBorders>
            <w:tcW w:w="861"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m</w:t>
            </w:r>
            <w:r>
              <w:rPr>
                <w:rFonts w:ascii="Times New Roman" w:hAnsi="Times New Roman"/>
                <w:color w:val="auto"/>
                <w:sz w:val="20"/>
                <w:szCs w:val="20"/>
                <w:highlight w:val="none"/>
                <w:vertAlign w:val="superscript"/>
              </w:rPr>
              <w:t xml:space="preserve">3</w:t>
            </w:r>
            <w:r/>
          </w:p>
        </w:tc>
        <w:tc>
          <w:tcPr>
            <w:gridSpan w:val="2"/>
            <w:shd w:val="clear" w:color="000000" w:fill="ffffff"/>
            <w:tcBorders>
              <w:top w:val="none" w:color="000000" w:sz="4" w:space="0"/>
              <w:left w:val="none" w:color="000000" w:sz="4" w:space="0"/>
              <w:bottom w:val="single" w:color="auto" w:sz="4" w:space="0"/>
              <w:right w:val="single" w:color="auto" w:sz="4" w:space="0"/>
            </w:tcBorders>
            <w:tcW w:w="928"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300.00 </w:t>
            </w:r>
            <w:r/>
          </w:p>
        </w:tc>
        <w:tc>
          <w:tcPr>
            <w:gridSpan w:val="2"/>
            <w:shd w:val="clear" w:color="000000" w:fill="ffffff"/>
            <w:tcBorders>
              <w:top w:val="none" w:color="000000" w:sz="4" w:space="0"/>
              <w:left w:val="none" w:color="000000" w:sz="4" w:space="0"/>
              <w:bottom w:val="single" w:color="auto" w:sz="4" w:space="0"/>
              <w:right w:val="single" w:color="auto" w:sz="4" w:space="0"/>
            </w:tcBorders>
            <w:tcW w:w="928"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gridSpan w:val="2"/>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gridSpan w:val="5"/>
            <w:shd w:val="clear" w:color="000000" w:fill="ffffff"/>
            <w:tcBorders>
              <w:top w:val="single" w:color="auto" w:sz="4" w:space="0"/>
              <w:left w:val="single" w:color="auto" w:sz="4" w:space="0"/>
              <w:bottom w:val="single" w:color="auto" w:sz="4" w:space="0"/>
              <w:right w:val="none" w:color="000000" w:sz="4" w:space="0"/>
            </w:tcBorders>
            <w:tcW w:w="4854" w:type="dxa"/>
            <w:vAlign w:val="center"/>
            <w:textDirection w:val="lrTb"/>
            <w:noWrap/>
          </w:tcPr>
          <w:p>
            <w:pPr>
              <w:jc w:val="right"/>
              <w:widowControl/>
              <w:rPr>
                <w:rFonts w:ascii="Times New Roman" w:hAnsi="Times New Roman"/>
                <w:b/>
                <w:bCs/>
                <w:color w:val="auto"/>
                <w:sz w:val="20"/>
                <w:szCs w:val="20"/>
                <w:highlight w:val="none"/>
              </w:rPr>
            </w:pPr>
            <w:r>
              <w:rPr>
                <w:rFonts w:ascii="Times New Roman" w:hAnsi="Times New Roman"/>
                <w:b/>
                <w:bCs/>
                <w:color w:val="auto"/>
                <w:sz w:val="20"/>
                <w:szCs w:val="20"/>
                <w:highlight w:val="none"/>
              </w:rPr>
              <w:t xml:space="preserve">300-2</w:t>
            </w:r>
            <w:r>
              <w:rPr>
                <w:rFonts w:hint="eastAsia" w:ascii="宋体" w:hAnsi="宋体"/>
                <w:b/>
                <w:bCs/>
                <w:color w:val="auto"/>
                <w:sz w:val="20"/>
                <w:szCs w:val="20"/>
                <w:highlight w:val="none"/>
              </w:rPr>
              <w:t xml:space="preserve">章小计</w:t>
            </w:r>
            <w:r>
              <w:rPr>
                <w:rFonts w:ascii="Times New Roman" w:hAnsi="Times New Roman"/>
                <w:b/>
                <w:bCs/>
                <w:color w:val="auto"/>
                <w:sz w:val="20"/>
                <w:szCs w:val="20"/>
                <w:highlight w:val="none"/>
              </w:rPr>
              <w:t xml:space="preserve">   </w:t>
            </w:r>
            <w:r>
              <w:rPr>
                <w:rFonts w:hint="eastAsia" w:ascii="宋体" w:hAnsi="宋体"/>
                <w:b/>
                <w:bCs/>
                <w:color w:val="auto"/>
                <w:sz w:val="20"/>
                <w:szCs w:val="20"/>
                <w:highlight w:val="none"/>
              </w:rPr>
              <w:t xml:space="preserve">人民币</w:t>
            </w:r>
            <w:r/>
          </w:p>
        </w:tc>
        <w:tc>
          <w:tcPr>
            <w:gridSpan w:val="4"/>
            <w:shd w:val="clear" w:color="000000" w:fill="ffffff"/>
            <w:tcBorders>
              <w:top w:val="single" w:color="auto" w:sz="4" w:space="0"/>
              <w:left w:val="none" w:color="000000" w:sz="4" w:space="0"/>
              <w:bottom w:val="single" w:color="auto" w:sz="4" w:space="0"/>
              <w:right w:val="none" w:color="000000" w:sz="4" w:space="0"/>
            </w:tcBorders>
            <w:tcW w:w="1856" w:type="dxa"/>
            <w:vAlign w:val="center"/>
            <w:textDirection w:val="lrTb"/>
            <w:noWrap/>
          </w:tcPr>
          <w:p>
            <w:pPr>
              <w:jc w:val="center"/>
              <w:widowControl/>
              <w:rPr>
                <w:rFonts w:ascii="Times New Roman" w:hAnsi="Times New Roman"/>
                <w:b/>
                <w:bCs/>
                <w:color w:val="auto"/>
                <w:sz w:val="20"/>
                <w:szCs w:val="20"/>
                <w:highlight w:val="none"/>
                <w:u w:val="single"/>
              </w:rPr>
            </w:pPr>
            <w:r>
              <w:rPr>
                <w:rFonts w:hint="eastAsia" w:ascii="Times New Roman" w:hAnsi="Times New Roman"/>
                <w:b/>
                <w:bCs/>
                <w:color w:val="auto"/>
                <w:sz w:val="20"/>
                <w:szCs w:val="20"/>
                <w:highlight w:val="none"/>
                <w:u w:val="single"/>
              </w:rPr>
              <w:t xml:space="preserve">           </w:t>
            </w:r>
            <w:r>
              <w:rPr>
                <w:rFonts w:ascii="Times New Roman" w:hAnsi="Times New Roman"/>
                <w:b/>
                <w:bCs/>
                <w:color w:val="auto"/>
                <w:sz w:val="20"/>
                <w:szCs w:val="20"/>
                <w:highlight w:val="none"/>
                <w:u w:val="singl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tcPr>
          <w:p>
            <w:pPr>
              <w:jc w:val="left"/>
              <w:widowControl/>
              <w:rPr>
                <w:rFonts w:ascii="Times New Roman" w:hAnsi="Times New Roman"/>
                <w:b/>
                <w:bCs/>
                <w:color w:val="auto"/>
                <w:sz w:val="20"/>
                <w:szCs w:val="20"/>
                <w:highlight w:val="none"/>
              </w:rPr>
            </w:pPr>
            <w:r>
              <w:rPr>
                <w:rFonts w:hint="eastAsia" w:ascii="宋体" w:hAnsi="宋体"/>
                <w:b/>
                <w:bCs/>
                <w:color w:val="auto"/>
                <w:sz w:val="20"/>
                <w:szCs w:val="20"/>
                <w:highlight w:val="none"/>
              </w:rPr>
              <w:t xml:space="preserve">元</w:t>
            </w:r>
            <w:r/>
          </w:p>
        </w:tc>
      </w:tr>
    </w:tbl>
    <w:p>
      <w:pPr>
        <w:pStyle w:val="1138"/>
        <w:spacing w:before="100" w:beforeAutospacing="1" w:line="480" w:lineRule="exact"/>
        <w:widowControl/>
        <w:rPr>
          <w:rFonts w:ascii="仿宋_GB2312" w:eastAsia="仿宋_GB2312"/>
          <w:bCs/>
          <w:color w:val="auto"/>
          <w:sz w:val="24"/>
          <w:highlight w:val="none"/>
        </w:rPr>
      </w:pPr>
      <w:r>
        <w:rPr>
          <w:rFonts w:ascii="仿宋_GB2312" w:eastAsia="仿宋_GB2312"/>
          <w:bCs/>
          <w:color w:val="auto"/>
          <w:sz w:val="24"/>
          <w:highlight w:val="none"/>
        </w:rPr>
      </w:r>
      <w:r/>
    </w:p>
    <w:tbl>
      <w:tblPr>
        <w:tblStyle w:val="816"/>
        <w:tblW w:w="8860" w:type="dxa"/>
        <w:tblInd w:w="108" w:type="dxa"/>
        <w:tblLayout w:type="autofit"/>
        <w:tblCellMar>
          <w:left w:w="108" w:type="dxa"/>
          <w:top w:w="0" w:type="dxa"/>
          <w:right w:w="108" w:type="dxa"/>
          <w:bottom w:w="0" w:type="dxa"/>
        </w:tblCellMar>
        <w:tblLook w:val="04A0" w:firstRow="1" w:lastRow="0" w:firstColumn="1" w:lastColumn="0" w:noHBand="0" w:noVBand="1"/>
      </w:tblPr>
      <w:tblGrid>
        <w:gridCol w:w="1020"/>
        <w:gridCol w:w="3760"/>
        <w:gridCol w:w="1020"/>
        <w:gridCol w:w="1020"/>
        <w:gridCol w:w="1020"/>
        <w:gridCol w:w="1020"/>
      </w:tblGrid>
      <w:tr>
        <w:trPr>
          <w:trHeight w:val="345"/>
        </w:trPr>
        <w:tc>
          <w:tcPr>
            <w:gridSpan w:val="6"/>
            <w:tcBorders>
              <w:top w:val="none" w:color="000000" w:sz="4" w:space="0"/>
              <w:left w:val="none" w:color="000000" w:sz="4" w:space="0"/>
              <w:bottom w:val="none" w:color="000000" w:sz="4" w:space="0"/>
              <w:right w:val="none" w:color="000000" w:sz="4" w:space="0"/>
            </w:tcBorders>
            <w:tcW w:w="8860" w:type="dxa"/>
            <w:vAlign w:val="center"/>
            <w:textDirection w:val="lrTb"/>
            <w:noWrap w:val="false"/>
          </w:tcPr>
          <w:p>
            <w:pPr>
              <w:jc w:val="center"/>
              <w:widowControl/>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jc w:val="center"/>
              <w:widowControl/>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pStyle w:val="807"/>
              <w:rPr>
                <w:rFonts w:hint="eastAsia"/>
                <w:color w:val="auto"/>
              </w:rPr>
            </w:pPr>
            <w:r>
              <w:rPr>
                <w:rFonts w:hint="eastAsia"/>
                <w:color w:val="auto"/>
              </w:rPr>
              <w:t xml:space="preserve">（七）★第400章 S122辅道（汤山段）日常养护桥梁、涵洞服务（基价类）</w:t>
            </w:r>
            <w:r/>
          </w:p>
          <w:p>
            <w:pPr>
              <w:jc w:val="center"/>
              <w:widowControl/>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jc w:val="center"/>
              <w:widowControl/>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第4</w:t>
            </w:r>
            <w:r>
              <w:rPr>
                <w:rFonts w:ascii="Times New Roman" w:hAnsi="Times New Roman"/>
                <w:b/>
                <w:bCs/>
                <w:color w:val="auto"/>
                <w:sz w:val="28"/>
                <w:szCs w:val="28"/>
                <w:highlight w:val="none"/>
              </w:rPr>
              <w:t xml:space="preserve">00</w:t>
            </w:r>
            <w:r>
              <w:rPr>
                <w:rFonts w:hint="eastAsia" w:ascii="宋体" w:hAnsi="宋体" w:cs="宋体"/>
                <w:b/>
                <w:bCs/>
                <w:color w:val="auto"/>
                <w:sz w:val="28"/>
                <w:szCs w:val="28"/>
                <w:highlight w:val="none"/>
              </w:rPr>
              <w:t xml:space="preserve">章</w:t>
            </w:r>
            <w:r>
              <w:rPr>
                <w:rFonts w:ascii="Times New Roman" w:hAnsi="Times New Roman"/>
                <w:b/>
                <w:bCs/>
                <w:color w:val="auto"/>
                <w:sz w:val="28"/>
                <w:szCs w:val="28"/>
                <w:highlight w:val="none"/>
              </w:rPr>
              <w:t xml:space="preserve">  S122</w:t>
            </w:r>
            <w:r>
              <w:rPr>
                <w:rFonts w:hint="eastAsia" w:ascii="宋体" w:hAnsi="宋体" w:cs="宋体"/>
                <w:b/>
                <w:bCs/>
                <w:color w:val="auto"/>
                <w:sz w:val="28"/>
                <w:szCs w:val="28"/>
                <w:highlight w:val="none"/>
              </w:rPr>
              <w:t xml:space="preserve">辅道（汤山段）日常养护桥梁、涵洞服务（基价类）</w:t>
            </w:r>
            <w:r/>
          </w:p>
        </w:tc>
      </w:tr>
      <w:tr>
        <w:trPr>
          <w:trHeight w:val="501"/>
        </w:trPr>
        <w:tc>
          <w:tcPr>
            <w:tcBorders>
              <w:top w:val="none" w:color="000000" w:sz="4" w:space="0"/>
              <w:left w:val="none" w:color="000000" w:sz="4" w:space="0"/>
              <w:bottom w:val="single" w:color="auto" w:sz="4" w:space="0"/>
              <w:right w:val="none" w:color="000000" w:sz="4" w:space="0"/>
            </w:tcBorders>
            <w:tcW w:w="1020" w:type="dxa"/>
            <w:vAlign w:val="center"/>
            <w:textDirection w:val="lrTb"/>
            <w:noWrap/>
          </w:tcPr>
          <w:p>
            <w:pPr>
              <w:jc w:val="left"/>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tcBorders>
              <w:top w:val="none" w:color="000000" w:sz="4" w:space="0"/>
              <w:left w:val="none" w:color="000000" w:sz="4" w:space="0"/>
              <w:bottom w:val="single" w:color="auto" w:sz="4" w:space="0"/>
              <w:right w:val="none" w:color="000000" w:sz="4" w:space="0"/>
            </w:tcBorders>
            <w:tcW w:w="3760" w:type="dxa"/>
            <w:vAlign w:val="center"/>
            <w:textDirection w:val="lrTb"/>
            <w:noWrap/>
          </w:tcPr>
          <w:p>
            <w:pPr>
              <w:jc w:val="lef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tcBorders>
              <w:top w:val="none" w:color="000000" w:sz="4" w:space="0"/>
              <w:left w:val="none" w:color="000000" w:sz="4" w:space="0"/>
              <w:bottom w:val="none" w:color="000000" w:sz="4" w:space="0"/>
              <w:right w:val="none" w:color="000000" w:sz="4" w:space="0"/>
            </w:tcBorders>
            <w:tcW w:w="1020" w:type="dxa"/>
            <w:vAlign w:val="bottom"/>
            <w:textDirection w:val="lrTb"/>
            <w:noWrap w:val="false"/>
          </w:tcPr>
          <w:p>
            <w:pPr>
              <w:jc w:val="left"/>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tcBorders>
              <w:top w:val="none" w:color="000000" w:sz="4" w:space="0"/>
              <w:left w:val="none" w:color="000000" w:sz="4" w:space="0"/>
              <w:bottom w:val="none" w:color="000000" w:sz="4" w:space="0"/>
              <w:right w:val="none" w:color="000000" w:sz="4" w:space="0"/>
            </w:tcBorders>
            <w:tcW w:w="1020" w:type="dxa"/>
            <w:vAlign w:val="bottom"/>
            <w:textDirection w:val="lrTb"/>
            <w:noWrap w:val="false"/>
          </w:tcPr>
          <w:p>
            <w:pPr>
              <w:jc w:val="left"/>
              <w:widowControl/>
              <w:rPr>
                <w:rFonts w:ascii="Times New Roman" w:hAnsi="Times New Roman" w:eastAsia="Times New Roman"/>
                <w:color w:val="auto"/>
                <w:sz w:val="20"/>
                <w:szCs w:val="20"/>
                <w:highlight w:val="none"/>
              </w:rPr>
            </w:pPr>
            <w:r>
              <w:rPr>
                <w:rFonts w:ascii="Times New Roman" w:hAnsi="Times New Roman" w:eastAsia="Times New Roman"/>
                <w:color w:val="auto"/>
                <w:sz w:val="20"/>
                <w:szCs w:val="20"/>
                <w:highlight w:val="none"/>
              </w:rPr>
            </w:r>
            <w:r/>
          </w:p>
        </w:tc>
        <w:tc>
          <w:tcPr>
            <w:gridSpan w:val="2"/>
            <w:tcBorders>
              <w:top w:val="none" w:color="000000" w:sz="4" w:space="0"/>
              <w:left w:val="none" w:color="000000" w:sz="4" w:space="0"/>
              <w:bottom w:val="none" w:color="000000" w:sz="4" w:space="0"/>
              <w:right w:val="none" w:color="000000" w:sz="4" w:space="0"/>
            </w:tcBorders>
            <w:tcW w:w="2040" w:type="dxa"/>
            <w:vAlign w:val="center"/>
            <w:textDirection w:val="lrTb"/>
            <w:noWrap w:val="false"/>
          </w:tcPr>
          <w:p>
            <w:pPr>
              <w:jc w:val="center"/>
              <w:widowControl/>
              <w:rPr>
                <w:rFonts w:ascii="Times New Roman" w:hAnsi="Times New Roman"/>
                <w:color w:val="auto"/>
                <w:sz w:val="20"/>
                <w:szCs w:val="20"/>
                <w:highlight w:val="none"/>
              </w:rPr>
            </w:pPr>
            <w:r>
              <w:rPr>
                <w:rFonts w:hint="eastAsia" w:ascii="宋体" w:hAnsi="宋体"/>
                <w:color w:val="auto"/>
                <w:sz w:val="20"/>
                <w:szCs w:val="20"/>
                <w:highlight w:val="none"/>
              </w:rPr>
              <w:t xml:space="preserve">货币单位：人民币元</w:t>
            </w:r>
            <w:r/>
          </w:p>
        </w:tc>
      </w:tr>
      <w:tr>
        <w:trPr>
          <w:trHeight w:val="501"/>
        </w:trPr>
        <w:tc>
          <w:tcPr>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b/>
                <w:bCs/>
                <w:color w:val="auto"/>
                <w:sz w:val="20"/>
                <w:szCs w:val="20"/>
                <w:highlight w:val="none"/>
              </w:rPr>
            </w:pPr>
            <w:r>
              <w:rPr>
                <w:rFonts w:hint="eastAsia" w:ascii="宋体" w:hAnsi="宋体"/>
                <w:b/>
                <w:bCs/>
                <w:color w:val="auto"/>
                <w:sz w:val="20"/>
                <w:szCs w:val="20"/>
                <w:highlight w:val="none"/>
              </w:rPr>
              <w:t xml:space="preserve">细目号</w:t>
            </w:r>
            <w:r/>
          </w:p>
        </w:tc>
        <w:tc>
          <w:tcPr>
            <w:tcBorders>
              <w:top w:val="none" w:color="000000" w:sz="4" w:space="0"/>
              <w:left w:val="none" w:color="000000" w:sz="4" w:space="0"/>
              <w:bottom w:val="single" w:color="auto" w:sz="4" w:space="0"/>
              <w:right w:val="single" w:color="auto" w:sz="4" w:space="0"/>
            </w:tcBorders>
            <w:tcW w:w="3760" w:type="dxa"/>
            <w:vAlign w:val="center"/>
            <w:textDirection w:val="lrTb"/>
            <w:noWrap w:val="false"/>
          </w:tcPr>
          <w:p>
            <w:pPr>
              <w:jc w:val="center"/>
              <w:widowControl/>
              <w:rPr>
                <w:rFonts w:ascii="Times New Roman" w:hAnsi="Times New Roman"/>
                <w:b/>
                <w:bCs/>
                <w:color w:val="auto"/>
                <w:sz w:val="20"/>
                <w:szCs w:val="20"/>
                <w:highlight w:val="none"/>
              </w:rPr>
            </w:pPr>
            <w:r>
              <w:rPr>
                <w:rFonts w:hint="eastAsia" w:ascii="宋体" w:hAnsi="宋体"/>
                <w:b/>
                <w:bCs/>
                <w:color w:val="auto"/>
                <w:sz w:val="20"/>
                <w:szCs w:val="20"/>
                <w:highlight w:val="none"/>
              </w:rPr>
              <w:t xml:space="preserve">细目名称</w:t>
            </w:r>
            <w:r/>
          </w:p>
        </w:tc>
        <w:tc>
          <w:tcPr>
            <w:tcBorders>
              <w:top w:val="single" w:color="auto"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b/>
                <w:bCs/>
                <w:color w:val="auto"/>
                <w:sz w:val="20"/>
                <w:szCs w:val="20"/>
                <w:highlight w:val="none"/>
              </w:rPr>
            </w:pPr>
            <w:r>
              <w:rPr>
                <w:rFonts w:hint="eastAsia" w:ascii="宋体" w:hAnsi="宋体"/>
                <w:b/>
                <w:bCs/>
                <w:color w:val="auto"/>
                <w:sz w:val="20"/>
                <w:szCs w:val="20"/>
                <w:highlight w:val="none"/>
              </w:rPr>
              <w:t xml:space="preserve">单位</w:t>
            </w:r>
            <w:r/>
          </w:p>
        </w:tc>
        <w:tc>
          <w:tcPr>
            <w:tcBorders>
              <w:top w:val="single" w:color="auto"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b/>
                <w:bCs/>
                <w:color w:val="auto"/>
                <w:sz w:val="20"/>
                <w:szCs w:val="20"/>
                <w:highlight w:val="none"/>
              </w:rPr>
            </w:pPr>
            <w:r>
              <w:rPr>
                <w:rFonts w:hint="eastAsia" w:ascii="宋体" w:hAnsi="宋体"/>
                <w:b/>
                <w:bCs/>
                <w:color w:val="auto"/>
                <w:sz w:val="20"/>
                <w:szCs w:val="20"/>
                <w:highlight w:val="none"/>
              </w:rPr>
              <w:t xml:space="preserve">数量</w:t>
            </w:r>
            <w:r/>
          </w:p>
        </w:tc>
        <w:tc>
          <w:tcPr>
            <w:tcBorders>
              <w:top w:val="single" w:color="auto"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Times New Roman" w:hAnsi="Times New Roman"/>
                <w:b/>
                <w:bCs/>
                <w:color w:val="auto"/>
                <w:sz w:val="20"/>
                <w:szCs w:val="20"/>
                <w:highlight w:val="none"/>
              </w:rPr>
            </w:pPr>
            <w:r>
              <w:rPr>
                <w:rFonts w:hint="eastAsia" w:ascii="宋体" w:hAnsi="宋体"/>
                <w:b/>
                <w:bCs/>
                <w:color w:val="auto"/>
                <w:sz w:val="20"/>
                <w:szCs w:val="20"/>
                <w:highlight w:val="none"/>
              </w:rPr>
              <w:t xml:space="preserve">单价</w:t>
            </w:r>
            <w:r/>
          </w:p>
        </w:tc>
        <w:tc>
          <w:tcPr>
            <w:tcBorders>
              <w:top w:val="single" w:color="auto"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b/>
                <w:bCs/>
                <w:color w:val="auto"/>
                <w:sz w:val="20"/>
                <w:szCs w:val="20"/>
                <w:highlight w:val="none"/>
              </w:rPr>
            </w:pPr>
            <w:r>
              <w:rPr>
                <w:rFonts w:hint="eastAsia" w:ascii="宋体" w:hAnsi="宋体"/>
                <w:b/>
                <w:bCs/>
                <w:color w:val="auto"/>
                <w:sz w:val="20"/>
                <w:szCs w:val="20"/>
                <w:highlight w:val="none"/>
              </w:rPr>
              <w:t xml:space="preserve">合价</w:t>
            </w:r>
            <w:r/>
          </w:p>
        </w:tc>
      </w:tr>
      <w:tr>
        <w:trPr>
          <w:trHeight w:val="501"/>
        </w:trPr>
        <w:tc>
          <w:tcPr>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S122QHJ</w:t>
            </w:r>
            <w:r/>
          </w:p>
        </w:tc>
        <w:tc>
          <w:tcPr>
            <w:tcBorders>
              <w:top w:val="none" w:color="000000" w:sz="4" w:space="0"/>
              <w:left w:val="none" w:color="000000" w:sz="4" w:space="0"/>
              <w:bottom w:val="single" w:color="auto" w:sz="4" w:space="0"/>
              <w:right w:val="single" w:color="auto" w:sz="4" w:space="0"/>
            </w:tcBorders>
            <w:tcW w:w="3760" w:type="dxa"/>
            <w:vAlign w:val="center"/>
            <w:textDirection w:val="lrTb"/>
            <w:noWrap w:val="false"/>
          </w:tcPr>
          <w:p>
            <w:pPr>
              <w:jc w:val="lef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r>
      <w:tr>
        <w:trPr>
          <w:trHeight w:val="501"/>
        </w:trPr>
        <w:tc>
          <w:tcPr>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-01</w:t>
            </w:r>
            <w:r/>
          </w:p>
        </w:tc>
        <w:tc>
          <w:tcPr>
            <w:tcBorders>
              <w:top w:val="none" w:color="000000" w:sz="4" w:space="0"/>
              <w:left w:val="none" w:color="000000" w:sz="4" w:space="0"/>
              <w:bottom w:val="single" w:color="auto" w:sz="4" w:space="0"/>
              <w:right w:val="single" w:color="auto" w:sz="4" w:space="0"/>
            </w:tcBorders>
            <w:tcW w:w="376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雨水管网养护服务</w:t>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m</w:t>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32083</w:t>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-02</w:t>
            </w:r>
            <w:r/>
          </w:p>
        </w:tc>
        <w:tc>
          <w:tcPr>
            <w:tcBorders>
              <w:top w:val="none" w:color="000000" w:sz="4" w:space="0"/>
              <w:left w:val="none" w:color="000000" w:sz="4" w:space="0"/>
              <w:bottom w:val="single" w:color="auto" w:sz="4" w:space="0"/>
              <w:right w:val="single" w:color="auto" w:sz="4" w:space="0"/>
            </w:tcBorders>
            <w:tcW w:w="376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排水明渠养护服务</w:t>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m</w:t>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9747.8</w:t>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gridSpan w:val="3"/>
            <w:tcBorders>
              <w:top w:val="single" w:color="auto" w:sz="4" w:space="0"/>
              <w:left w:val="single" w:color="auto" w:sz="4" w:space="0"/>
              <w:bottom w:val="single" w:color="auto" w:sz="4" w:space="0"/>
              <w:right w:val="none" w:color="000000" w:sz="4" w:space="0"/>
            </w:tcBorders>
            <w:tcW w:w="5800" w:type="dxa"/>
            <w:vAlign w:val="center"/>
            <w:textDirection w:val="lrTb"/>
            <w:noWrap/>
          </w:tcPr>
          <w:p>
            <w:pPr>
              <w:jc w:val="right"/>
              <w:widowControl/>
              <w:rPr>
                <w:rFonts w:ascii="Times New Roman" w:hAnsi="Times New Roman"/>
                <w:b/>
                <w:bCs/>
                <w:color w:val="auto"/>
                <w:sz w:val="20"/>
                <w:szCs w:val="20"/>
                <w:highlight w:val="none"/>
              </w:rPr>
            </w:pPr>
            <w:r>
              <w:rPr>
                <w:rFonts w:ascii="Times New Roman" w:hAnsi="Times New Roman"/>
                <w:b/>
                <w:bCs/>
                <w:color w:val="auto"/>
                <w:sz w:val="20"/>
                <w:szCs w:val="20"/>
                <w:highlight w:val="none"/>
              </w:rPr>
              <w:t xml:space="preserve">400-1</w:t>
            </w:r>
            <w:r>
              <w:rPr>
                <w:rFonts w:hint="eastAsia" w:ascii="宋体" w:hAnsi="宋体"/>
                <w:b/>
                <w:bCs/>
                <w:color w:val="auto"/>
                <w:sz w:val="20"/>
                <w:szCs w:val="20"/>
                <w:highlight w:val="none"/>
              </w:rPr>
              <w:t xml:space="preserve">章小计</w:t>
            </w:r>
            <w:r>
              <w:rPr>
                <w:rFonts w:ascii="Times New Roman" w:hAnsi="Times New Roman"/>
                <w:b/>
                <w:bCs/>
                <w:color w:val="auto"/>
                <w:sz w:val="20"/>
                <w:szCs w:val="20"/>
                <w:highlight w:val="none"/>
              </w:rPr>
              <w:t xml:space="preserve">   </w:t>
            </w:r>
            <w:r>
              <w:rPr>
                <w:rFonts w:hint="eastAsia" w:ascii="宋体" w:hAnsi="宋体"/>
                <w:b/>
                <w:bCs/>
                <w:color w:val="auto"/>
                <w:sz w:val="20"/>
                <w:szCs w:val="20"/>
                <w:highlight w:val="none"/>
              </w:rPr>
              <w:t xml:space="preserve">人民币</w:t>
            </w:r>
            <w:r/>
          </w:p>
        </w:tc>
        <w:tc>
          <w:tcPr>
            <w:gridSpan w:val="2"/>
            <w:tcBorders>
              <w:top w:val="single" w:color="auto" w:sz="4" w:space="0"/>
              <w:left w:val="none" w:color="000000" w:sz="4" w:space="0"/>
              <w:bottom w:val="single" w:color="auto" w:sz="4" w:space="0"/>
              <w:right w:val="none" w:color="000000" w:sz="4" w:space="0"/>
            </w:tcBorders>
            <w:tcW w:w="2040" w:type="dxa"/>
            <w:vAlign w:val="center"/>
            <w:textDirection w:val="lrTb"/>
            <w:noWrap/>
          </w:tcPr>
          <w:p>
            <w:pPr>
              <w:jc w:val="center"/>
              <w:widowControl/>
              <w:rPr>
                <w:rFonts w:ascii="Times New Roman" w:hAnsi="Times New Roman"/>
                <w:b/>
                <w:bCs/>
                <w:color w:val="auto"/>
                <w:sz w:val="20"/>
                <w:szCs w:val="20"/>
                <w:highlight w:val="none"/>
                <w:u w:val="single"/>
              </w:rPr>
            </w:pPr>
            <w:r>
              <w:rPr>
                <w:rFonts w:hint="eastAsia" w:ascii="Times New Roman" w:hAnsi="Times New Roman"/>
                <w:b/>
                <w:bCs/>
                <w:color w:val="auto"/>
                <w:sz w:val="20"/>
                <w:szCs w:val="20"/>
                <w:highlight w:val="none"/>
                <w:u w:val="single"/>
              </w:rPr>
              <w:t xml:space="preserve">             </w:t>
            </w:r>
            <w:r>
              <w:rPr>
                <w:rFonts w:ascii="Times New Roman" w:hAnsi="Times New Roman"/>
                <w:b/>
                <w:bCs/>
                <w:color w:val="auto"/>
                <w:sz w:val="20"/>
                <w:szCs w:val="20"/>
                <w:highlight w:val="none"/>
                <w:u w:val="single"/>
              </w:rPr>
              <w:t xml:space="preserve"> </w:t>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Times New Roman" w:hAnsi="Times New Roman"/>
                <w:b/>
                <w:bCs/>
                <w:color w:val="auto"/>
                <w:sz w:val="20"/>
                <w:szCs w:val="20"/>
                <w:highlight w:val="none"/>
              </w:rPr>
            </w:pPr>
            <w:r>
              <w:rPr>
                <w:rFonts w:hint="eastAsia" w:ascii="宋体" w:hAnsi="宋体"/>
                <w:b/>
                <w:bCs/>
                <w:color w:val="auto"/>
                <w:sz w:val="20"/>
                <w:szCs w:val="20"/>
                <w:highlight w:val="none"/>
              </w:rPr>
              <w:t xml:space="preserve">元</w:t>
            </w:r>
            <w:r/>
          </w:p>
        </w:tc>
      </w:tr>
    </w:tbl>
    <w:p>
      <w:pPr>
        <w:pStyle w:val="1138"/>
        <w:spacing w:before="100" w:beforeAutospacing="1" w:line="480" w:lineRule="exact"/>
        <w:widowControl/>
        <w:rPr>
          <w:rFonts w:ascii="仿宋_GB2312" w:eastAsia="仿宋_GB2312"/>
          <w:bCs/>
          <w:color w:val="auto"/>
          <w:sz w:val="24"/>
          <w:highlight w:val="none"/>
        </w:rPr>
      </w:pPr>
      <w:r>
        <w:rPr>
          <w:rFonts w:ascii="仿宋_GB2312" w:eastAsia="仿宋_GB2312"/>
          <w:bCs/>
          <w:color w:val="auto"/>
          <w:sz w:val="24"/>
          <w:highlight w:val="none"/>
        </w:rPr>
      </w:r>
      <w:r/>
    </w:p>
    <w:p>
      <w:pPr>
        <w:pStyle w:val="807"/>
        <w:rPr>
          <w:color w:val="auto"/>
        </w:rPr>
      </w:pPr>
      <w:r>
        <w:rPr>
          <w:rFonts w:hint="eastAsia"/>
          <w:color w:val="auto"/>
        </w:rPr>
        <w:t xml:space="preserve">（八）★第400章 S122辅道（汤山段）日常养护桥梁、涵洞服务（单价类）</w:t>
      </w:r>
      <w:r/>
    </w:p>
    <w:p>
      <w:pPr>
        <w:pStyle w:val="1138"/>
        <w:spacing w:before="100" w:beforeAutospacing="1" w:line="480" w:lineRule="exact"/>
        <w:widowControl/>
        <w:rPr>
          <w:rFonts w:ascii="仿宋_GB2312" w:eastAsia="仿宋_GB2312"/>
          <w:bCs/>
          <w:color w:val="auto"/>
          <w:sz w:val="24"/>
          <w:highlight w:val="none"/>
        </w:rPr>
      </w:pPr>
      <w:r>
        <w:rPr>
          <w:rFonts w:ascii="仿宋_GB2312" w:eastAsia="仿宋_GB2312"/>
          <w:bCs/>
          <w:color w:val="auto"/>
          <w:sz w:val="24"/>
          <w:highlight w:val="none"/>
        </w:rPr>
      </w:r>
      <w:r/>
    </w:p>
    <w:tbl>
      <w:tblPr>
        <w:tblStyle w:val="816"/>
        <w:tblW w:w="8940" w:type="dxa"/>
        <w:tblInd w:w="108" w:type="dxa"/>
        <w:tblLayout w:type="autofit"/>
        <w:tblCellMar>
          <w:left w:w="108" w:type="dxa"/>
          <w:top w:w="0" w:type="dxa"/>
          <w:right w:w="108" w:type="dxa"/>
          <w:bottom w:w="0" w:type="dxa"/>
        </w:tblCellMar>
        <w:tblLook w:val="04A0" w:firstRow="1" w:lastRow="0" w:firstColumn="1" w:lastColumn="0" w:noHBand="0" w:noVBand="1"/>
      </w:tblPr>
      <w:tblGrid>
        <w:gridCol w:w="1061"/>
        <w:gridCol w:w="3328"/>
        <w:gridCol w:w="908"/>
        <w:gridCol w:w="974"/>
        <w:gridCol w:w="908"/>
        <w:gridCol w:w="1830"/>
      </w:tblGrid>
      <w:tr>
        <w:trPr>
          <w:trHeight w:val="345"/>
        </w:trPr>
        <w:tc>
          <w:tcPr>
            <w:gridSpan w:val="6"/>
            <w:tcBorders>
              <w:top w:val="none" w:color="000000" w:sz="4" w:space="0"/>
              <w:left w:val="none" w:color="000000" w:sz="4" w:space="0"/>
              <w:bottom w:val="none" w:color="000000" w:sz="4" w:space="0"/>
              <w:right w:val="none" w:color="000000" w:sz="4" w:space="0"/>
            </w:tcBorders>
            <w:tcW w:w="8940" w:type="dxa"/>
            <w:vAlign w:val="center"/>
            <w:textDirection w:val="lrTb"/>
            <w:noWrap w:val="false"/>
          </w:tcPr>
          <w:p>
            <w:pPr>
              <w:jc w:val="center"/>
              <w:widowControl/>
              <w:rPr>
                <w:rFonts w:hint="eastAsia" w:ascii="宋体" w:hAnsi="宋体" w:cs="宋体"/>
                <w:b/>
                <w:bCs/>
                <w:color w:val="auto"/>
                <w:sz w:val="28"/>
                <w:szCs w:val="28"/>
                <w:highlight w:val="none"/>
              </w:rPr>
            </w:pPr>
            <w:r/>
            <w:bookmarkStart w:id="117" w:name="RANGE!A1:F7"/>
            <w:r>
              <w:rPr>
                <w:rFonts w:hint="eastAsia" w:ascii="宋体" w:hAnsi="宋体" w:cs="宋体"/>
                <w:b/>
                <w:bCs/>
                <w:color w:val="auto"/>
                <w:sz w:val="28"/>
                <w:szCs w:val="28"/>
                <w:highlight w:val="none"/>
              </w:rPr>
              <w:t xml:space="preserve">第4</w:t>
            </w:r>
            <w:r>
              <w:rPr>
                <w:rFonts w:ascii="Times New Roman" w:hAnsi="Times New Roman"/>
                <w:b/>
                <w:bCs/>
                <w:color w:val="auto"/>
                <w:sz w:val="28"/>
                <w:szCs w:val="28"/>
                <w:highlight w:val="none"/>
              </w:rPr>
              <w:t xml:space="preserve">00</w:t>
            </w:r>
            <w:r>
              <w:rPr>
                <w:rFonts w:hint="eastAsia" w:ascii="宋体" w:hAnsi="宋体" w:cs="宋体"/>
                <w:b/>
                <w:bCs/>
                <w:color w:val="auto"/>
                <w:sz w:val="28"/>
                <w:szCs w:val="28"/>
                <w:highlight w:val="none"/>
              </w:rPr>
              <w:t xml:space="preserve">章</w:t>
            </w:r>
            <w:r>
              <w:rPr>
                <w:rFonts w:ascii="Times New Roman" w:hAnsi="Times New Roman"/>
                <w:b/>
                <w:bCs/>
                <w:color w:val="auto"/>
                <w:sz w:val="28"/>
                <w:szCs w:val="28"/>
                <w:highlight w:val="none"/>
              </w:rPr>
              <w:t xml:space="preserve">   S122</w:t>
            </w:r>
            <w:r>
              <w:rPr>
                <w:rFonts w:hint="eastAsia" w:ascii="宋体" w:hAnsi="宋体" w:cs="宋体"/>
                <w:b/>
                <w:bCs/>
                <w:color w:val="auto"/>
                <w:sz w:val="28"/>
                <w:szCs w:val="28"/>
                <w:highlight w:val="none"/>
              </w:rPr>
              <w:t xml:space="preserve">辅道（汤山段）日常养护桥梁、涵洞服务（单价类）</w:t>
            </w:r>
            <w:bookmarkEnd w:id="117"/>
            <w:r/>
            <w:r/>
          </w:p>
        </w:tc>
      </w:tr>
      <w:tr>
        <w:trPr>
          <w:trHeight w:val="501"/>
        </w:trPr>
        <w:tc>
          <w:tcPr>
            <w:tcBorders>
              <w:top w:val="none" w:color="000000" w:sz="4" w:space="0"/>
              <w:left w:val="none" w:color="000000" w:sz="4" w:space="0"/>
              <w:bottom w:val="single" w:color="auto" w:sz="4" w:space="0"/>
              <w:right w:val="none" w:color="000000" w:sz="4" w:space="0"/>
            </w:tcBorders>
            <w:tcW w:w="992" w:type="dxa"/>
            <w:vAlign w:val="center"/>
            <w:textDirection w:val="lrTb"/>
            <w:noWrap/>
          </w:tcPr>
          <w:p>
            <w:pPr>
              <w:jc w:val="left"/>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tcBorders>
              <w:top w:val="none" w:color="000000" w:sz="4" w:space="0"/>
              <w:left w:val="none" w:color="000000" w:sz="4" w:space="0"/>
              <w:bottom w:val="single" w:color="auto" w:sz="4" w:space="0"/>
              <w:right w:val="none" w:color="000000" w:sz="4" w:space="0"/>
            </w:tcBorders>
            <w:tcW w:w="3328" w:type="dxa"/>
            <w:vAlign w:val="center"/>
            <w:textDirection w:val="lrTb"/>
            <w:noWrap/>
          </w:tcPr>
          <w:p>
            <w:pPr>
              <w:jc w:val="lef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tcBorders>
              <w:top w:val="none" w:color="000000" w:sz="4" w:space="0"/>
              <w:left w:val="none" w:color="000000" w:sz="4" w:space="0"/>
              <w:bottom w:val="single" w:color="auto" w:sz="4" w:space="0"/>
              <w:right w:val="none" w:color="000000" w:sz="4" w:space="0"/>
            </w:tcBorders>
            <w:tcW w:w="908" w:type="dxa"/>
            <w:vAlign w:val="center"/>
            <w:textDirection w:val="lrTb"/>
            <w:noWrap/>
          </w:tcPr>
          <w:p>
            <w:pPr>
              <w:jc w:val="lef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shd w:val="clear" w:color="000000" w:fill="ffffff"/>
            <w:tcBorders>
              <w:top w:val="none" w:color="000000" w:sz="4" w:space="0"/>
              <w:left w:val="none" w:color="000000" w:sz="4" w:space="0"/>
              <w:bottom w:val="single" w:color="auto" w:sz="4" w:space="0"/>
              <w:right w:val="none" w:color="000000" w:sz="4" w:space="0"/>
            </w:tcBorders>
            <w:tcW w:w="974" w:type="dxa"/>
            <w:vAlign w:val="center"/>
            <w:textDirection w:val="lrTb"/>
            <w:noWrap/>
          </w:tcPr>
          <w:p>
            <w:pPr>
              <w:jc w:val="lef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tcBorders>
              <w:top w:val="none" w:color="000000" w:sz="4" w:space="0"/>
              <w:left w:val="none" w:color="000000" w:sz="4" w:space="0"/>
              <w:bottom w:val="single" w:color="auto" w:sz="4" w:space="0"/>
              <w:right w:val="none" w:color="000000" w:sz="4" w:space="0"/>
            </w:tcBorders>
            <w:tcW w:w="908" w:type="dxa"/>
            <w:vAlign w:val="center"/>
            <w:textDirection w:val="lrTb"/>
            <w:noWrap/>
          </w:tcPr>
          <w:p>
            <w:pPr>
              <w:jc w:val="lef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tcBorders>
              <w:top w:val="none" w:color="000000" w:sz="4" w:space="0"/>
              <w:left w:val="none" w:color="000000" w:sz="4" w:space="0"/>
              <w:bottom w:val="single" w:color="auto" w:sz="4" w:space="0"/>
              <w:right w:val="none" w:color="000000" w:sz="4" w:space="0"/>
            </w:tcBorders>
            <w:tcW w:w="1830" w:type="dxa"/>
            <w:vAlign w:val="center"/>
            <w:textDirection w:val="lrTb"/>
            <w:noWrap/>
          </w:tcPr>
          <w:p>
            <w:pPr>
              <w:jc w:val="right"/>
              <w:widowControl/>
              <w:rPr>
                <w:rFonts w:ascii="Times New Roman" w:hAnsi="Times New Roman"/>
                <w:color w:val="auto"/>
                <w:sz w:val="20"/>
                <w:szCs w:val="20"/>
                <w:highlight w:val="none"/>
              </w:rPr>
            </w:pPr>
            <w:r>
              <w:rPr>
                <w:rFonts w:hint="eastAsia" w:ascii="宋体" w:hAnsi="宋体"/>
                <w:color w:val="auto"/>
                <w:sz w:val="20"/>
                <w:szCs w:val="20"/>
                <w:highlight w:val="none"/>
              </w:rPr>
              <w:t xml:space="preserve">货币单位：人民币元</w:t>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992" w:type="dxa"/>
            <w:vAlign w:val="center"/>
            <w:textDirection w:val="lrTb"/>
            <w:noWrap w:val="false"/>
          </w:tcPr>
          <w:p>
            <w:pPr>
              <w:jc w:val="center"/>
              <w:widowControl/>
              <w:rPr>
                <w:rFonts w:ascii="Times New Roman" w:hAnsi="Times New Roman"/>
                <w:b/>
                <w:bCs/>
                <w:color w:val="auto"/>
                <w:sz w:val="20"/>
                <w:szCs w:val="20"/>
                <w:highlight w:val="none"/>
              </w:rPr>
            </w:pPr>
            <w:r>
              <w:rPr>
                <w:rFonts w:hint="eastAsia" w:ascii="宋体" w:hAnsi="宋体"/>
                <w:b/>
                <w:bCs/>
                <w:color w:val="auto"/>
                <w:sz w:val="20"/>
                <w:szCs w:val="20"/>
                <w:highlight w:val="none"/>
              </w:rPr>
              <w:t xml:space="preserve">细目号</w:t>
            </w:r>
            <w:r/>
          </w:p>
        </w:tc>
        <w:tc>
          <w:tcPr>
            <w:shd w:val="clear" w:color="000000" w:fill="ffffff"/>
            <w:tcBorders>
              <w:top w:val="none" w:color="000000" w:sz="4" w:space="0"/>
              <w:left w:val="none" w:color="000000" w:sz="4" w:space="0"/>
              <w:bottom w:val="single" w:color="auto" w:sz="4" w:space="0"/>
              <w:right w:val="single" w:color="auto" w:sz="4" w:space="0"/>
            </w:tcBorders>
            <w:tcW w:w="3328" w:type="dxa"/>
            <w:vAlign w:val="center"/>
            <w:textDirection w:val="lrTb"/>
            <w:noWrap/>
          </w:tcPr>
          <w:p>
            <w:pPr>
              <w:jc w:val="center"/>
              <w:widowControl/>
              <w:rPr>
                <w:rFonts w:ascii="Times New Roman" w:hAnsi="Times New Roman"/>
                <w:b/>
                <w:bCs/>
                <w:color w:val="auto"/>
                <w:sz w:val="20"/>
                <w:szCs w:val="20"/>
                <w:highlight w:val="none"/>
              </w:rPr>
            </w:pPr>
            <w:r>
              <w:rPr>
                <w:rFonts w:hint="eastAsia" w:ascii="宋体" w:hAnsi="宋体"/>
                <w:b/>
                <w:bCs/>
                <w:color w:val="auto"/>
                <w:sz w:val="20"/>
                <w:szCs w:val="20"/>
                <w:highlight w:val="none"/>
              </w:rPr>
              <w:t xml:space="preserve">细</w:t>
            </w:r>
            <w:r>
              <w:rPr>
                <w:rFonts w:ascii="Times New Roman" w:hAnsi="Times New Roman"/>
                <w:b/>
                <w:bCs/>
                <w:color w:val="auto"/>
                <w:sz w:val="20"/>
                <w:szCs w:val="20"/>
                <w:highlight w:val="none"/>
              </w:rPr>
              <w:t xml:space="preserve">   </w:t>
            </w:r>
            <w:r>
              <w:rPr>
                <w:rFonts w:hint="eastAsia" w:ascii="宋体" w:hAnsi="宋体"/>
                <w:b/>
                <w:bCs/>
                <w:color w:val="auto"/>
                <w:sz w:val="20"/>
                <w:szCs w:val="20"/>
                <w:highlight w:val="none"/>
              </w:rPr>
              <w:t xml:space="preserve">目</w:t>
            </w:r>
            <w:r>
              <w:rPr>
                <w:rFonts w:ascii="Times New Roman" w:hAnsi="Times New Roman"/>
                <w:b/>
                <w:bCs/>
                <w:color w:val="auto"/>
                <w:sz w:val="20"/>
                <w:szCs w:val="20"/>
                <w:highlight w:val="none"/>
              </w:rPr>
              <w:t xml:space="preserve">   </w:t>
            </w:r>
            <w:r>
              <w:rPr>
                <w:rFonts w:hint="eastAsia" w:ascii="宋体" w:hAnsi="宋体"/>
                <w:b/>
                <w:bCs/>
                <w:color w:val="auto"/>
                <w:sz w:val="20"/>
                <w:szCs w:val="20"/>
                <w:highlight w:val="none"/>
              </w:rPr>
              <w:t xml:space="preserve">名</w:t>
            </w:r>
            <w:r>
              <w:rPr>
                <w:rFonts w:ascii="Times New Roman" w:hAnsi="Times New Roman"/>
                <w:b/>
                <w:bCs/>
                <w:color w:val="auto"/>
                <w:sz w:val="20"/>
                <w:szCs w:val="20"/>
                <w:highlight w:val="none"/>
              </w:rPr>
              <w:t xml:space="preserve">    </w:t>
            </w:r>
            <w:r>
              <w:rPr>
                <w:rFonts w:hint="eastAsia" w:ascii="宋体" w:hAnsi="宋体"/>
                <w:b/>
                <w:bCs/>
                <w:color w:val="auto"/>
                <w:sz w:val="20"/>
                <w:szCs w:val="20"/>
                <w:highlight w:val="none"/>
              </w:rPr>
              <w:t xml:space="preserve">称</w:t>
            </w:r>
            <w:r/>
          </w:p>
        </w:tc>
        <w:tc>
          <w:tcPr>
            <w:shd w:val="clear" w:color="000000" w:fill="ffffff"/>
            <w:tcBorders>
              <w:top w:val="none" w:color="000000" w:sz="4" w:space="0"/>
              <w:left w:val="none" w:color="000000" w:sz="4" w:space="0"/>
              <w:bottom w:val="single" w:color="auto" w:sz="4" w:space="0"/>
              <w:right w:val="single" w:color="auto" w:sz="4" w:space="0"/>
            </w:tcBorders>
            <w:tcW w:w="908" w:type="dxa"/>
            <w:vAlign w:val="center"/>
            <w:textDirection w:val="lrTb"/>
            <w:noWrap/>
          </w:tcPr>
          <w:p>
            <w:pPr>
              <w:jc w:val="center"/>
              <w:widowControl/>
              <w:rPr>
                <w:rFonts w:ascii="Times New Roman" w:hAnsi="Times New Roman"/>
                <w:b/>
                <w:bCs/>
                <w:color w:val="auto"/>
                <w:sz w:val="20"/>
                <w:szCs w:val="20"/>
                <w:highlight w:val="none"/>
              </w:rPr>
            </w:pPr>
            <w:r>
              <w:rPr>
                <w:rFonts w:hint="eastAsia" w:ascii="宋体" w:hAnsi="宋体"/>
                <w:b/>
                <w:bCs/>
                <w:color w:val="auto"/>
                <w:sz w:val="20"/>
                <w:szCs w:val="20"/>
                <w:highlight w:val="none"/>
              </w:rPr>
              <w:t xml:space="preserve">单位</w:t>
            </w:r>
            <w:r/>
          </w:p>
        </w:tc>
        <w:tc>
          <w:tcPr>
            <w:shd w:val="clear" w:color="000000" w:fill="ffffff"/>
            <w:tcBorders>
              <w:top w:val="none" w:color="000000" w:sz="4" w:space="0"/>
              <w:left w:val="none" w:color="000000" w:sz="4" w:space="0"/>
              <w:bottom w:val="single" w:color="auto" w:sz="4" w:space="0"/>
              <w:right w:val="single" w:color="auto" w:sz="4" w:space="0"/>
            </w:tcBorders>
            <w:tcW w:w="974" w:type="dxa"/>
            <w:vAlign w:val="center"/>
            <w:textDirection w:val="lrTb"/>
            <w:noWrap w:val="false"/>
          </w:tcPr>
          <w:p>
            <w:pPr>
              <w:jc w:val="center"/>
              <w:widowControl/>
              <w:rPr>
                <w:rFonts w:ascii="Times New Roman" w:hAnsi="Times New Roman"/>
                <w:b/>
                <w:bCs/>
                <w:color w:val="auto"/>
                <w:sz w:val="20"/>
                <w:szCs w:val="20"/>
                <w:highlight w:val="none"/>
              </w:rPr>
            </w:pPr>
            <w:r>
              <w:rPr>
                <w:rFonts w:hint="eastAsia" w:ascii="宋体" w:hAnsi="宋体"/>
                <w:b/>
                <w:bCs/>
                <w:color w:val="auto"/>
                <w:sz w:val="20"/>
                <w:szCs w:val="20"/>
                <w:highlight w:val="none"/>
              </w:rPr>
              <w:t xml:space="preserve">数量</w:t>
            </w:r>
            <w:r/>
          </w:p>
        </w:tc>
        <w:tc>
          <w:tcPr>
            <w:shd w:val="clear" w:color="000000" w:fill="ffffff"/>
            <w:tcBorders>
              <w:top w:val="none" w:color="000000" w:sz="4" w:space="0"/>
              <w:left w:val="none" w:color="000000" w:sz="4" w:space="0"/>
              <w:bottom w:val="single" w:color="auto" w:sz="4" w:space="0"/>
              <w:right w:val="single" w:color="auto" w:sz="4" w:space="0"/>
            </w:tcBorders>
            <w:tcW w:w="908" w:type="dxa"/>
            <w:vAlign w:val="center"/>
            <w:textDirection w:val="lrTb"/>
            <w:noWrap/>
          </w:tcPr>
          <w:p>
            <w:pPr>
              <w:jc w:val="center"/>
              <w:widowControl/>
              <w:rPr>
                <w:rFonts w:ascii="Times New Roman" w:hAnsi="Times New Roman"/>
                <w:b/>
                <w:bCs/>
                <w:color w:val="auto"/>
                <w:sz w:val="20"/>
                <w:szCs w:val="20"/>
                <w:highlight w:val="none"/>
              </w:rPr>
            </w:pPr>
            <w:r>
              <w:rPr>
                <w:rFonts w:hint="eastAsia" w:ascii="宋体" w:hAnsi="宋体"/>
                <w:b/>
                <w:bCs/>
                <w:color w:val="auto"/>
                <w:sz w:val="20"/>
                <w:szCs w:val="20"/>
                <w:highlight w:val="none"/>
              </w:rPr>
              <w:t xml:space="preserve">单价</w:t>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tcPr>
          <w:p>
            <w:pPr>
              <w:jc w:val="center"/>
              <w:widowControl/>
              <w:rPr>
                <w:rFonts w:ascii="Times New Roman" w:hAnsi="Times New Roman"/>
                <w:b/>
                <w:bCs/>
                <w:color w:val="auto"/>
                <w:sz w:val="20"/>
                <w:szCs w:val="20"/>
                <w:highlight w:val="none"/>
              </w:rPr>
            </w:pPr>
            <w:r>
              <w:rPr>
                <w:rFonts w:hint="eastAsia" w:ascii="宋体" w:hAnsi="宋体"/>
                <w:b/>
                <w:bCs/>
                <w:color w:val="auto"/>
                <w:sz w:val="20"/>
                <w:szCs w:val="20"/>
                <w:highlight w:val="none"/>
              </w:rPr>
              <w:t xml:space="preserve">合价</w:t>
            </w:r>
            <w:r/>
          </w:p>
        </w:tc>
      </w:tr>
      <w:tr>
        <w:trPr>
          <w:trHeight w:val="501"/>
        </w:trPr>
        <w:tc>
          <w:tcPr>
            <w:tcBorders>
              <w:top w:val="none" w:color="000000" w:sz="4" w:space="0"/>
              <w:left w:val="single" w:color="auto" w:sz="4" w:space="0"/>
              <w:bottom w:val="single" w:color="auto" w:sz="4" w:space="0"/>
              <w:right w:val="single" w:color="auto" w:sz="4" w:space="0"/>
            </w:tcBorders>
            <w:tcW w:w="99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S122QHD</w:t>
            </w:r>
            <w:r/>
          </w:p>
        </w:tc>
        <w:tc>
          <w:tcPr>
            <w:tcBorders>
              <w:top w:val="none" w:color="000000" w:sz="4" w:space="0"/>
              <w:left w:val="none" w:color="000000" w:sz="4" w:space="0"/>
              <w:bottom w:val="single" w:color="auto" w:sz="4" w:space="0"/>
              <w:right w:val="single" w:color="auto" w:sz="4" w:space="0"/>
            </w:tcBorders>
            <w:tcW w:w="3328" w:type="dxa"/>
            <w:vAlign w:val="center"/>
            <w:textDirection w:val="lrTb"/>
            <w:noWrap w:val="false"/>
          </w:tcPr>
          <w:p>
            <w:pPr>
              <w:jc w:val="lef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908"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974"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908"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r>
      <w:tr>
        <w:trPr>
          <w:trHeight w:val="501"/>
        </w:trPr>
        <w:tc>
          <w:tcPr>
            <w:tcBorders>
              <w:top w:val="none" w:color="000000" w:sz="4" w:space="0"/>
              <w:left w:val="single" w:color="auto" w:sz="4" w:space="0"/>
              <w:bottom w:val="single" w:color="auto" w:sz="4" w:space="0"/>
              <w:right w:val="single" w:color="auto" w:sz="4" w:space="0"/>
            </w:tcBorders>
            <w:tcW w:w="99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-01</w:t>
            </w:r>
            <w:r/>
          </w:p>
        </w:tc>
        <w:tc>
          <w:tcPr>
            <w:tcBorders>
              <w:top w:val="none" w:color="000000" w:sz="4" w:space="0"/>
              <w:left w:val="none" w:color="000000" w:sz="4" w:space="0"/>
              <w:bottom w:val="single" w:color="auto" w:sz="4" w:space="0"/>
              <w:right w:val="single" w:color="auto" w:sz="4" w:space="0"/>
            </w:tcBorders>
            <w:tcW w:w="3328"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桥伸缩缝清理保养服务</w:t>
            </w:r>
            <w:r/>
          </w:p>
        </w:tc>
        <w:tc>
          <w:tcPr>
            <w:shd w:val="clear" w:color="000000" w:fill="ffffff"/>
            <w:tcBorders>
              <w:top w:val="none" w:color="000000" w:sz="4" w:space="0"/>
              <w:left w:val="none" w:color="000000" w:sz="4" w:space="0"/>
              <w:bottom w:val="single" w:color="auto" w:sz="4" w:space="0"/>
              <w:right w:val="single" w:color="auto" w:sz="4" w:space="0"/>
            </w:tcBorders>
            <w:tcW w:w="908"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m</w:t>
            </w:r>
            <w:r/>
          </w:p>
        </w:tc>
        <w:tc>
          <w:tcPr>
            <w:shd w:val="clear" w:color="000000" w:fill="ffffff"/>
            <w:tcBorders>
              <w:top w:val="none" w:color="000000" w:sz="4" w:space="0"/>
              <w:left w:val="none" w:color="000000" w:sz="4" w:space="0"/>
              <w:bottom w:val="single" w:color="auto" w:sz="4" w:space="0"/>
              <w:right w:val="single" w:color="auto" w:sz="4" w:space="0"/>
            </w:tcBorders>
            <w:tcW w:w="974"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14300.00 </w:t>
            </w:r>
            <w:r/>
          </w:p>
        </w:tc>
        <w:tc>
          <w:tcPr>
            <w:shd w:val="clear" w:color="000000" w:fill="ffffff"/>
            <w:tcBorders>
              <w:top w:val="none" w:color="000000" w:sz="4" w:space="0"/>
              <w:left w:val="none" w:color="000000" w:sz="4" w:space="0"/>
              <w:bottom w:val="single" w:color="auto" w:sz="4" w:space="0"/>
              <w:right w:val="single" w:color="auto" w:sz="4" w:space="0"/>
            </w:tcBorders>
            <w:tcW w:w="908"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tcBorders>
              <w:top w:val="none" w:color="000000" w:sz="4" w:space="0"/>
              <w:left w:val="single" w:color="auto" w:sz="4" w:space="0"/>
              <w:bottom w:val="single" w:color="auto" w:sz="4" w:space="0"/>
              <w:right w:val="single" w:color="auto" w:sz="4" w:space="0"/>
            </w:tcBorders>
            <w:tcW w:w="992"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-02</w:t>
            </w:r>
            <w:r/>
          </w:p>
        </w:tc>
        <w:tc>
          <w:tcPr>
            <w:tcBorders>
              <w:top w:val="none" w:color="000000" w:sz="4" w:space="0"/>
              <w:left w:val="none" w:color="000000" w:sz="4" w:space="0"/>
              <w:bottom w:val="single" w:color="auto" w:sz="4" w:space="0"/>
              <w:right w:val="single" w:color="auto" w:sz="4" w:space="0"/>
            </w:tcBorders>
            <w:tcW w:w="3328"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疏通泄水孔服务（交通段）</w:t>
            </w:r>
            <w:r/>
          </w:p>
        </w:tc>
        <w:tc>
          <w:tcPr>
            <w:shd w:val="clear" w:color="000000" w:fill="ffffff"/>
            <w:tcBorders>
              <w:top w:val="none" w:color="000000" w:sz="4" w:space="0"/>
              <w:left w:val="none" w:color="000000" w:sz="4" w:space="0"/>
              <w:bottom w:val="single" w:color="auto" w:sz="4" w:space="0"/>
              <w:right w:val="single" w:color="auto" w:sz="4" w:space="0"/>
            </w:tcBorders>
            <w:tcW w:w="908"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道</w:t>
            </w:r>
            <w:r/>
          </w:p>
        </w:tc>
        <w:tc>
          <w:tcPr>
            <w:shd w:val="clear" w:color="000000" w:fill="ffffff"/>
            <w:tcBorders>
              <w:top w:val="none" w:color="000000" w:sz="4" w:space="0"/>
              <w:left w:val="none" w:color="000000" w:sz="4" w:space="0"/>
              <w:bottom w:val="single" w:color="auto" w:sz="4" w:space="0"/>
              <w:right w:val="single" w:color="auto" w:sz="4" w:space="0"/>
            </w:tcBorders>
            <w:tcW w:w="974"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4888 </w:t>
            </w:r>
            <w:r/>
          </w:p>
        </w:tc>
        <w:tc>
          <w:tcPr>
            <w:shd w:val="clear" w:color="000000" w:fill="ffffff"/>
            <w:tcBorders>
              <w:top w:val="none" w:color="000000" w:sz="4" w:space="0"/>
              <w:left w:val="none" w:color="000000" w:sz="4" w:space="0"/>
              <w:bottom w:val="single" w:color="auto" w:sz="4" w:space="0"/>
              <w:right w:val="single" w:color="auto" w:sz="4" w:space="0"/>
            </w:tcBorders>
            <w:tcW w:w="908"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gridSpan w:val="3"/>
            <w:shd w:val="clear" w:color="000000" w:fill="ffffff"/>
            <w:tcBorders>
              <w:top w:val="single" w:color="auto" w:sz="4" w:space="0"/>
              <w:left w:val="single" w:color="auto" w:sz="4" w:space="0"/>
              <w:bottom w:val="single" w:color="auto" w:sz="4" w:space="0"/>
              <w:right w:val="none" w:color="000000" w:sz="4" w:space="0"/>
            </w:tcBorders>
            <w:tcW w:w="5228" w:type="dxa"/>
            <w:vAlign w:val="center"/>
            <w:textDirection w:val="lrTb"/>
            <w:noWrap/>
          </w:tcPr>
          <w:p>
            <w:pPr>
              <w:jc w:val="right"/>
              <w:widowControl/>
              <w:rPr>
                <w:rFonts w:ascii="Times New Roman" w:hAnsi="Times New Roman"/>
                <w:b/>
                <w:bCs/>
                <w:color w:val="auto"/>
                <w:sz w:val="20"/>
                <w:szCs w:val="20"/>
                <w:highlight w:val="none"/>
              </w:rPr>
            </w:pPr>
            <w:r>
              <w:rPr>
                <w:rFonts w:ascii="Times New Roman" w:hAnsi="Times New Roman"/>
                <w:b/>
                <w:bCs/>
                <w:color w:val="auto"/>
                <w:sz w:val="20"/>
                <w:szCs w:val="20"/>
                <w:highlight w:val="none"/>
              </w:rPr>
              <w:t xml:space="preserve">400-2</w:t>
            </w:r>
            <w:r>
              <w:rPr>
                <w:rFonts w:hint="eastAsia" w:ascii="宋体" w:hAnsi="宋体"/>
                <w:b/>
                <w:bCs/>
                <w:color w:val="auto"/>
                <w:sz w:val="20"/>
                <w:szCs w:val="20"/>
                <w:highlight w:val="none"/>
              </w:rPr>
              <w:t xml:space="preserve">章小计</w:t>
            </w:r>
            <w:r>
              <w:rPr>
                <w:rFonts w:ascii="Times New Roman" w:hAnsi="Times New Roman"/>
                <w:b/>
                <w:bCs/>
                <w:color w:val="auto"/>
                <w:sz w:val="20"/>
                <w:szCs w:val="20"/>
                <w:highlight w:val="none"/>
              </w:rPr>
              <w:t xml:space="preserve">   </w:t>
            </w:r>
            <w:r>
              <w:rPr>
                <w:rFonts w:hint="eastAsia" w:ascii="宋体" w:hAnsi="宋体"/>
                <w:b/>
                <w:bCs/>
                <w:color w:val="auto"/>
                <w:sz w:val="20"/>
                <w:szCs w:val="20"/>
                <w:highlight w:val="none"/>
              </w:rPr>
              <w:t xml:space="preserve">人民币</w:t>
            </w:r>
            <w:r/>
          </w:p>
        </w:tc>
        <w:tc>
          <w:tcPr>
            <w:gridSpan w:val="2"/>
            <w:shd w:val="clear" w:color="000000" w:fill="ffffff"/>
            <w:tcBorders>
              <w:top w:val="single" w:color="auto" w:sz="4" w:space="0"/>
              <w:left w:val="none" w:color="000000" w:sz="4" w:space="0"/>
              <w:bottom w:val="single" w:color="auto" w:sz="4" w:space="0"/>
              <w:right w:val="none" w:color="000000" w:sz="4" w:space="0"/>
            </w:tcBorders>
            <w:tcW w:w="1882" w:type="dxa"/>
            <w:vAlign w:val="center"/>
            <w:textDirection w:val="lrTb"/>
            <w:noWrap/>
          </w:tcPr>
          <w:p>
            <w:pPr>
              <w:jc w:val="center"/>
              <w:widowControl/>
              <w:rPr>
                <w:rFonts w:ascii="Times New Roman" w:hAnsi="Times New Roman"/>
                <w:b/>
                <w:bCs/>
                <w:color w:val="auto"/>
                <w:sz w:val="20"/>
                <w:szCs w:val="20"/>
                <w:highlight w:val="none"/>
                <w:u w:val="single"/>
              </w:rPr>
            </w:pPr>
            <w:r>
              <w:rPr>
                <w:rFonts w:hint="eastAsia" w:ascii="Times New Roman" w:hAnsi="Times New Roman"/>
                <w:b/>
                <w:bCs/>
                <w:color w:val="auto"/>
                <w:sz w:val="20"/>
                <w:szCs w:val="20"/>
                <w:highlight w:val="none"/>
                <w:u w:val="single"/>
              </w:rPr>
              <w:t xml:space="preserve">        </w:t>
            </w:r>
            <w:r>
              <w:rPr>
                <w:rFonts w:ascii="Times New Roman" w:hAnsi="Times New Roman"/>
                <w:b/>
                <w:bCs/>
                <w:color w:val="auto"/>
                <w:sz w:val="20"/>
                <w:szCs w:val="20"/>
                <w:highlight w:val="none"/>
                <w:u w:val="singl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tcPr>
          <w:p>
            <w:pPr>
              <w:jc w:val="left"/>
              <w:widowControl/>
              <w:rPr>
                <w:rFonts w:ascii="Times New Roman" w:hAnsi="Times New Roman"/>
                <w:b/>
                <w:bCs/>
                <w:color w:val="auto"/>
                <w:sz w:val="20"/>
                <w:szCs w:val="20"/>
                <w:highlight w:val="none"/>
              </w:rPr>
            </w:pPr>
            <w:r>
              <w:rPr>
                <w:rFonts w:hint="eastAsia" w:ascii="宋体" w:hAnsi="宋体"/>
                <w:b/>
                <w:bCs/>
                <w:color w:val="auto"/>
                <w:sz w:val="20"/>
                <w:szCs w:val="20"/>
                <w:highlight w:val="none"/>
              </w:rPr>
              <w:t xml:space="preserve">元</w:t>
            </w:r>
            <w:r/>
          </w:p>
        </w:tc>
      </w:tr>
    </w:tbl>
    <w:p>
      <w:pPr>
        <w:pStyle w:val="1138"/>
        <w:ind w:left="-288" w:firstLine="285"/>
        <w:spacing w:before="100" w:beforeAutospacing="1" w:line="480" w:lineRule="exact"/>
        <w:widowControl/>
        <w:rPr>
          <w:rFonts w:ascii="仿宋_GB2312" w:eastAsia="仿宋_GB2312"/>
          <w:bCs/>
          <w:color w:val="auto"/>
          <w:sz w:val="24"/>
          <w:highlight w:val="none"/>
        </w:rPr>
      </w:pPr>
      <w:r>
        <w:rPr>
          <w:rFonts w:ascii="仿宋_GB2312" w:eastAsia="仿宋_GB2312"/>
          <w:bCs/>
          <w:color w:val="auto"/>
          <w:sz w:val="24"/>
          <w:highlight w:val="none"/>
        </w:rPr>
      </w:r>
      <w:r/>
    </w:p>
    <w:p>
      <w:pPr>
        <w:pStyle w:val="1138"/>
        <w:ind w:left="-288" w:firstLine="285"/>
        <w:spacing w:before="100" w:beforeAutospacing="1" w:line="480" w:lineRule="exact"/>
        <w:widowControl/>
        <w:rPr>
          <w:rFonts w:ascii="仿宋_GB2312" w:eastAsia="仿宋_GB2312"/>
          <w:bCs/>
          <w:color w:val="auto"/>
          <w:sz w:val="24"/>
          <w:highlight w:val="none"/>
        </w:rPr>
      </w:pPr>
      <w:r>
        <w:rPr>
          <w:rFonts w:ascii="仿宋_GB2312" w:eastAsia="仿宋_GB2312"/>
          <w:bCs/>
          <w:color w:val="auto"/>
          <w:sz w:val="24"/>
          <w:highlight w:val="none"/>
        </w:rPr>
      </w:r>
      <w:r/>
    </w:p>
    <w:p>
      <w:pPr>
        <w:pStyle w:val="807"/>
        <w:rPr>
          <w:color w:val="auto"/>
        </w:rPr>
      </w:pPr>
      <w:r>
        <w:rPr>
          <w:rFonts w:hint="eastAsia"/>
          <w:color w:val="auto"/>
        </w:rPr>
        <w:t xml:space="preserve">（九）★第500章 S122辅道（汤山段）日常养护安全设施及预埋管线服务（基价类） </w:t>
      </w:r>
      <w:r/>
    </w:p>
    <w:p>
      <w:pPr>
        <w:pStyle w:val="1138"/>
        <w:ind w:left="-288" w:firstLine="285"/>
        <w:spacing w:before="100" w:beforeAutospacing="1" w:line="480" w:lineRule="exact"/>
        <w:widowControl/>
        <w:rPr>
          <w:rFonts w:ascii="仿宋_GB2312" w:eastAsia="仿宋_GB2312"/>
          <w:bCs/>
          <w:color w:val="auto"/>
          <w:sz w:val="24"/>
          <w:highlight w:val="none"/>
        </w:rPr>
      </w:pPr>
      <w:r>
        <w:rPr>
          <w:rFonts w:ascii="仿宋_GB2312" w:eastAsia="仿宋_GB2312"/>
          <w:bCs/>
          <w:color w:val="auto"/>
          <w:sz w:val="24"/>
          <w:highlight w:val="none"/>
        </w:rPr>
      </w:r>
      <w:r/>
    </w:p>
    <w:tbl>
      <w:tblPr>
        <w:tblStyle w:val="816"/>
        <w:tblW w:w="8540" w:type="dxa"/>
        <w:tblInd w:w="108" w:type="dxa"/>
        <w:tblLayout w:type="autofit"/>
        <w:tblCellMar>
          <w:left w:w="108" w:type="dxa"/>
          <w:top w:w="0" w:type="dxa"/>
          <w:right w:w="108" w:type="dxa"/>
          <w:bottom w:w="0" w:type="dxa"/>
        </w:tblCellMar>
        <w:tblLook w:val="04A0" w:firstRow="1" w:lastRow="0" w:firstColumn="1" w:lastColumn="0" w:noHBand="0" w:noVBand="1"/>
      </w:tblPr>
      <w:tblGrid>
        <w:gridCol w:w="1020"/>
        <w:gridCol w:w="3440"/>
        <w:gridCol w:w="1020"/>
        <w:gridCol w:w="1020"/>
        <w:gridCol w:w="1020"/>
        <w:gridCol w:w="1020"/>
      </w:tblGrid>
      <w:tr>
        <w:trPr>
          <w:trHeight w:val="840"/>
        </w:trPr>
        <w:tc>
          <w:tcPr>
            <w:gridSpan w:val="6"/>
            <w:tcBorders>
              <w:top w:val="none" w:color="000000" w:sz="4" w:space="0"/>
              <w:left w:val="none" w:color="000000" w:sz="4" w:space="0"/>
              <w:bottom w:val="none" w:color="000000" w:sz="4" w:space="0"/>
              <w:right w:val="none" w:color="000000" w:sz="4" w:space="0"/>
            </w:tcBorders>
            <w:tcW w:w="8540" w:type="dxa"/>
            <w:vAlign w:val="center"/>
            <w:textDirection w:val="lrTb"/>
            <w:noWrap w:val="false"/>
          </w:tcPr>
          <w:p>
            <w:pPr>
              <w:jc w:val="center"/>
              <w:widowControl/>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第5</w:t>
            </w:r>
            <w:r>
              <w:rPr>
                <w:rFonts w:ascii="Times New Roman" w:hAnsi="Times New Roman"/>
                <w:b/>
                <w:bCs/>
                <w:color w:val="auto"/>
                <w:sz w:val="28"/>
                <w:szCs w:val="28"/>
                <w:highlight w:val="none"/>
              </w:rPr>
              <w:t xml:space="preserve">00</w:t>
            </w:r>
            <w:r>
              <w:rPr>
                <w:rFonts w:hint="eastAsia" w:ascii="宋体" w:hAnsi="宋体" w:cs="宋体"/>
                <w:b/>
                <w:bCs/>
                <w:color w:val="auto"/>
                <w:sz w:val="28"/>
                <w:szCs w:val="28"/>
                <w:highlight w:val="none"/>
              </w:rPr>
              <w:t xml:space="preserve">章</w:t>
            </w:r>
            <w:r>
              <w:rPr>
                <w:rFonts w:ascii="Times New Roman" w:hAnsi="Times New Roman"/>
                <w:b/>
                <w:bCs/>
                <w:color w:val="auto"/>
                <w:sz w:val="28"/>
                <w:szCs w:val="28"/>
                <w:highlight w:val="none"/>
              </w:rPr>
              <w:t xml:space="preserve">   S122</w:t>
            </w:r>
            <w:r>
              <w:rPr>
                <w:rFonts w:hint="eastAsia" w:ascii="宋体" w:hAnsi="宋体" w:cs="宋体"/>
                <w:b/>
                <w:bCs/>
                <w:color w:val="auto"/>
                <w:sz w:val="28"/>
                <w:szCs w:val="28"/>
                <w:highlight w:val="none"/>
              </w:rPr>
              <w:t xml:space="preserve">辅道（汤山段）日常养护                                    安全设施及预埋管线服务（基价类）</w:t>
            </w:r>
            <w:r/>
          </w:p>
        </w:tc>
      </w:tr>
      <w:tr>
        <w:trPr>
          <w:trHeight w:val="501"/>
        </w:trPr>
        <w:tc>
          <w:tcPr>
            <w:tcBorders>
              <w:top w:val="none" w:color="000000" w:sz="4" w:space="0"/>
              <w:left w:val="none" w:color="000000" w:sz="4" w:space="0"/>
              <w:bottom w:val="single" w:color="auto" w:sz="4" w:space="0"/>
              <w:right w:val="none" w:color="000000" w:sz="4" w:space="0"/>
            </w:tcBorders>
            <w:tcW w:w="1020" w:type="dxa"/>
            <w:vAlign w:val="center"/>
            <w:textDirection w:val="lrTb"/>
            <w:noWrap/>
          </w:tcPr>
          <w:p>
            <w:pPr>
              <w:jc w:val="left"/>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tcBorders>
              <w:top w:val="none" w:color="000000" w:sz="4" w:space="0"/>
              <w:left w:val="none" w:color="000000" w:sz="4" w:space="0"/>
              <w:bottom w:val="single" w:color="auto" w:sz="4" w:space="0"/>
              <w:right w:val="none" w:color="000000" w:sz="4" w:space="0"/>
            </w:tcBorders>
            <w:tcW w:w="3440" w:type="dxa"/>
            <w:vAlign w:val="center"/>
            <w:textDirection w:val="lrTb"/>
            <w:noWrap/>
          </w:tcPr>
          <w:p>
            <w:pPr>
              <w:jc w:val="lef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tcBorders>
              <w:top w:val="none" w:color="000000" w:sz="4" w:space="0"/>
              <w:left w:val="none" w:color="000000" w:sz="4" w:space="0"/>
              <w:bottom w:val="none" w:color="000000" w:sz="4" w:space="0"/>
              <w:right w:val="none" w:color="000000" w:sz="4" w:space="0"/>
            </w:tcBorders>
            <w:tcW w:w="1020" w:type="dxa"/>
            <w:vAlign w:val="bottom"/>
            <w:textDirection w:val="lrTb"/>
            <w:noWrap w:val="false"/>
          </w:tcPr>
          <w:p>
            <w:pPr>
              <w:jc w:val="left"/>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tcBorders>
              <w:top w:val="none" w:color="000000" w:sz="4" w:space="0"/>
              <w:left w:val="none" w:color="000000" w:sz="4" w:space="0"/>
              <w:bottom w:val="none" w:color="000000" w:sz="4" w:space="0"/>
              <w:right w:val="none" w:color="000000" w:sz="4" w:space="0"/>
            </w:tcBorders>
            <w:tcW w:w="1020" w:type="dxa"/>
            <w:vAlign w:val="bottom"/>
            <w:textDirection w:val="lrTb"/>
            <w:noWrap w:val="false"/>
          </w:tcPr>
          <w:p>
            <w:pPr>
              <w:jc w:val="left"/>
              <w:widowControl/>
              <w:rPr>
                <w:rFonts w:ascii="Times New Roman" w:hAnsi="Times New Roman" w:eastAsia="Times New Roman"/>
                <w:color w:val="auto"/>
                <w:sz w:val="20"/>
                <w:szCs w:val="20"/>
                <w:highlight w:val="none"/>
              </w:rPr>
            </w:pPr>
            <w:r>
              <w:rPr>
                <w:rFonts w:ascii="Times New Roman" w:hAnsi="Times New Roman" w:eastAsia="Times New Roman"/>
                <w:color w:val="auto"/>
                <w:sz w:val="20"/>
                <w:szCs w:val="20"/>
                <w:highlight w:val="none"/>
              </w:rPr>
            </w:r>
            <w:r/>
          </w:p>
        </w:tc>
        <w:tc>
          <w:tcPr>
            <w:gridSpan w:val="2"/>
            <w:tcBorders>
              <w:top w:val="none" w:color="000000" w:sz="4" w:space="0"/>
              <w:left w:val="none" w:color="000000" w:sz="4" w:space="0"/>
              <w:bottom w:val="none" w:color="000000" w:sz="4" w:space="0"/>
              <w:right w:val="none" w:color="000000" w:sz="4" w:space="0"/>
            </w:tcBorders>
            <w:tcW w:w="2040" w:type="dxa"/>
            <w:vAlign w:val="center"/>
            <w:textDirection w:val="lrTb"/>
            <w:noWrap w:val="false"/>
          </w:tcPr>
          <w:p>
            <w:pPr>
              <w:jc w:val="center"/>
              <w:widowControl/>
              <w:rPr>
                <w:rFonts w:ascii="Times New Roman" w:hAnsi="Times New Roman"/>
                <w:color w:val="auto"/>
                <w:sz w:val="20"/>
                <w:szCs w:val="20"/>
                <w:highlight w:val="none"/>
              </w:rPr>
            </w:pPr>
            <w:r>
              <w:rPr>
                <w:rFonts w:hint="eastAsia" w:ascii="宋体" w:hAnsi="宋体"/>
                <w:color w:val="auto"/>
                <w:sz w:val="20"/>
                <w:szCs w:val="20"/>
                <w:highlight w:val="none"/>
              </w:rPr>
              <w:t xml:space="preserve">货币单位：人民币元</w:t>
            </w:r>
            <w:r/>
          </w:p>
        </w:tc>
      </w:tr>
      <w:tr>
        <w:trPr>
          <w:trHeight w:val="501"/>
        </w:trPr>
        <w:tc>
          <w:tcPr>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b/>
                <w:bCs/>
                <w:color w:val="auto"/>
                <w:sz w:val="20"/>
                <w:szCs w:val="20"/>
                <w:highlight w:val="none"/>
              </w:rPr>
            </w:pPr>
            <w:r>
              <w:rPr>
                <w:rFonts w:hint="eastAsia" w:ascii="宋体" w:hAnsi="宋体"/>
                <w:b/>
                <w:bCs/>
                <w:color w:val="auto"/>
                <w:sz w:val="20"/>
                <w:szCs w:val="20"/>
                <w:highlight w:val="none"/>
              </w:rPr>
              <w:t xml:space="preserve">细目号</w:t>
            </w:r>
            <w:r/>
          </w:p>
        </w:tc>
        <w:tc>
          <w:tcPr>
            <w:tcBorders>
              <w:top w:val="none" w:color="000000" w:sz="4" w:space="0"/>
              <w:left w:val="none" w:color="000000" w:sz="4" w:space="0"/>
              <w:bottom w:val="single" w:color="auto" w:sz="4" w:space="0"/>
              <w:right w:val="single" w:color="auto" w:sz="4" w:space="0"/>
            </w:tcBorders>
            <w:tcW w:w="3440" w:type="dxa"/>
            <w:vAlign w:val="center"/>
            <w:textDirection w:val="lrTb"/>
            <w:noWrap w:val="false"/>
          </w:tcPr>
          <w:p>
            <w:pPr>
              <w:jc w:val="center"/>
              <w:widowControl/>
              <w:rPr>
                <w:rFonts w:ascii="Times New Roman" w:hAnsi="Times New Roman"/>
                <w:b/>
                <w:bCs/>
                <w:color w:val="auto"/>
                <w:sz w:val="20"/>
                <w:szCs w:val="20"/>
                <w:highlight w:val="none"/>
              </w:rPr>
            </w:pPr>
            <w:r>
              <w:rPr>
                <w:rFonts w:hint="eastAsia" w:ascii="宋体" w:hAnsi="宋体"/>
                <w:b/>
                <w:bCs/>
                <w:color w:val="auto"/>
                <w:sz w:val="20"/>
                <w:szCs w:val="20"/>
                <w:highlight w:val="none"/>
              </w:rPr>
              <w:t xml:space="preserve">细目名称</w:t>
            </w:r>
            <w:r/>
          </w:p>
        </w:tc>
        <w:tc>
          <w:tcPr>
            <w:tcBorders>
              <w:top w:val="single" w:color="auto"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b/>
                <w:bCs/>
                <w:color w:val="auto"/>
                <w:sz w:val="20"/>
                <w:szCs w:val="20"/>
                <w:highlight w:val="none"/>
              </w:rPr>
            </w:pPr>
            <w:r>
              <w:rPr>
                <w:rFonts w:hint="eastAsia" w:ascii="宋体" w:hAnsi="宋体"/>
                <w:b/>
                <w:bCs/>
                <w:color w:val="auto"/>
                <w:sz w:val="20"/>
                <w:szCs w:val="20"/>
                <w:highlight w:val="none"/>
              </w:rPr>
              <w:t xml:space="preserve">单位</w:t>
            </w:r>
            <w:r/>
          </w:p>
        </w:tc>
        <w:tc>
          <w:tcPr>
            <w:tcBorders>
              <w:top w:val="single" w:color="auto"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b/>
                <w:bCs/>
                <w:color w:val="auto"/>
                <w:sz w:val="20"/>
                <w:szCs w:val="20"/>
                <w:highlight w:val="none"/>
              </w:rPr>
            </w:pPr>
            <w:r>
              <w:rPr>
                <w:rFonts w:hint="eastAsia" w:ascii="宋体" w:hAnsi="宋体"/>
                <w:b/>
                <w:bCs/>
                <w:color w:val="auto"/>
                <w:sz w:val="20"/>
                <w:szCs w:val="20"/>
                <w:highlight w:val="none"/>
              </w:rPr>
              <w:t xml:space="preserve">数量</w:t>
            </w:r>
            <w:r/>
          </w:p>
        </w:tc>
        <w:tc>
          <w:tcPr>
            <w:tcBorders>
              <w:top w:val="single" w:color="auto"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Times New Roman" w:hAnsi="Times New Roman"/>
                <w:b/>
                <w:bCs/>
                <w:color w:val="auto"/>
                <w:sz w:val="20"/>
                <w:szCs w:val="20"/>
                <w:highlight w:val="none"/>
              </w:rPr>
            </w:pPr>
            <w:r>
              <w:rPr>
                <w:rFonts w:hint="eastAsia" w:ascii="宋体" w:hAnsi="宋体"/>
                <w:b/>
                <w:bCs/>
                <w:color w:val="auto"/>
                <w:sz w:val="20"/>
                <w:szCs w:val="20"/>
                <w:highlight w:val="none"/>
              </w:rPr>
              <w:t xml:space="preserve">单价</w:t>
            </w:r>
            <w:r/>
          </w:p>
        </w:tc>
        <w:tc>
          <w:tcPr>
            <w:tcBorders>
              <w:top w:val="single" w:color="auto"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b/>
                <w:bCs/>
                <w:color w:val="auto"/>
                <w:sz w:val="20"/>
                <w:szCs w:val="20"/>
                <w:highlight w:val="none"/>
              </w:rPr>
            </w:pPr>
            <w:r>
              <w:rPr>
                <w:rFonts w:hint="eastAsia" w:ascii="宋体" w:hAnsi="宋体"/>
                <w:b/>
                <w:bCs/>
                <w:color w:val="auto"/>
                <w:sz w:val="20"/>
                <w:szCs w:val="20"/>
                <w:highlight w:val="none"/>
              </w:rPr>
              <w:t xml:space="preserve">合价</w:t>
            </w:r>
            <w:r/>
          </w:p>
        </w:tc>
      </w:tr>
      <w:tr>
        <w:trPr>
          <w:trHeight w:val="501"/>
        </w:trPr>
        <w:tc>
          <w:tcPr>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S122JAJ</w:t>
            </w:r>
            <w:r/>
          </w:p>
        </w:tc>
        <w:tc>
          <w:tcPr>
            <w:tcBorders>
              <w:top w:val="none" w:color="000000" w:sz="4" w:space="0"/>
              <w:left w:val="none" w:color="000000" w:sz="4" w:space="0"/>
              <w:bottom w:val="single" w:color="auto" w:sz="4" w:space="0"/>
              <w:right w:val="single" w:color="auto" w:sz="4" w:space="0"/>
            </w:tcBorders>
            <w:tcW w:w="3440" w:type="dxa"/>
            <w:vAlign w:val="center"/>
            <w:textDirection w:val="lrTb"/>
            <w:noWrap w:val="false"/>
          </w:tcPr>
          <w:p>
            <w:pPr>
              <w:jc w:val="lef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r>
      <w:tr>
        <w:trPr>
          <w:trHeight w:val="501"/>
        </w:trPr>
        <w:tc>
          <w:tcPr>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-01</w:t>
            </w:r>
            <w:r/>
          </w:p>
        </w:tc>
        <w:tc>
          <w:tcPr>
            <w:tcBorders>
              <w:top w:val="none" w:color="000000" w:sz="4" w:space="0"/>
              <w:left w:val="none" w:color="000000" w:sz="4" w:space="0"/>
              <w:bottom w:val="single" w:color="auto" w:sz="4" w:space="0"/>
              <w:right w:val="single" w:color="auto" w:sz="4" w:space="0"/>
            </w:tcBorders>
            <w:tcW w:w="344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车行隔离栏养护服务</w:t>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m</w:t>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29234.34</w:t>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gridSpan w:val="3"/>
            <w:tcBorders>
              <w:top w:val="single" w:color="auto" w:sz="4" w:space="0"/>
              <w:left w:val="single" w:color="auto" w:sz="4" w:space="0"/>
              <w:bottom w:val="single" w:color="auto" w:sz="4" w:space="0"/>
              <w:right w:val="none" w:color="000000" w:sz="4" w:space="0"/>
            </w:tcBorders>
            <w:tcW w:w="5480" w:type="dxa"/>
            <w:vAlign w:val="center"/>
            <w:textDirection w:val="lrTb"/>
            <w:noWrap/>
          </w:tcPr>
          <w:p>
            <w:pPr>
              <w:jc w:val="right"/>
              <w:widowControl/>
              <w:rPr>
                <w:rFonts w:ascii="Times New Roman" w:hAnsi="Times New Roman"/>
                <w:b/>
                <w:bCs/>
                <w:color w:val="auto"/>
                <w:sz w:val="20"/>
                <w:szCs w:val="20"/>
                <w:highlight w:val="none"/>
              </w:rPr>
            </w:pPr>
            <w:r>
              <w:rPr>
                <w:rFonts w:ascii="Times New Roman" w:hAnsi="Times New Roman"/>
                <w:b/>
                <w:bCs/>
                <w:color w:val="auto"/>
                <w:sz w:val="20"/>
                <w:szCs w:val="20"/>
                <w:highlight w:val="none"/>
              </w:rPr>
              <w:t xml:space="preserve"> 500-1</w:t>
            </w:r>
            <w:r>
              <w:rPr>
                <w:rFonts w:hint="eastAsia" w:ascii="宋体" w:hAnsi="宋体"/>
                <w:b/>
                <w:bCs/>
                <w:color w:val="auto"/>
                <w:sz w:val="20"/>
                <w:szCs w:val="20"/>
                <w:highlight w:val="none"/>
              </w:rPr>
              <w:t xml:space="preserve">章小计</w:t>
            </w:r>
            <w:r>
              <w:rPr>
                <w:rFonts w:ascii="Times New Roman" w:hAnsi="Times New Roman"/>
                <w:b/>
                <w:bCs/>
                <w:color w:val="auto"/>
                <w:sz w:val="20"/>
                <w:szCs w:val="20"/>
                <w:highlight w:val="none"/>
              </w:rPr>
              <w:t xml:space="preserve">   </w:t>
            </w:r>
            <w:r>
              <w:rPr>
                <w:rFonts w:hint="eastAsia" w:ascii="宋体" w:hAnsi="宋体"/>
                <w:b/>
                <w:bCs/>
                <w:color w:val="auto"/>
                <w:sz w:val="20"/>
                <w:szCs w:val="20"/>
                <w:highlight w:val="none"/>
              </w:rPr>
              <w:t xml:space="preserve">人民币</w:t>
            </w:r>
            <w:r/>
          </w:p>
        </w:tc>
        <w:tc>
          <w:tcPr>
            <w:gridSpan w:val="2"/>
            <w:tcBorders>
              <w:top w:val="single" w:color="auto" w:sz="4" w:space="0"/>
              <w:left w:val="none" w:color="000000" w:sz="4" w:space="0"/>
              <w:bottom w:val="single" w:color="auto" w:sz="4" w:space="0"/>
              <w:right w:val="none" w:color="000000" w:sz="4" w:space="0"/>
            </w:tcBorders>
            <w:tcW w:w="2040" w:type="dxa"/>
            <w:vAlign w:val="center"/>
            <w:textDirection w:val="lrTb"/>
            <w:noWrap/>
          </w:tcPr>
          <w:p>
            <w:pPr>
              <w:jc w:val="center"/>
              <w:widowControl/>
              <w:rPr>
                <w:rFonts w:ascii="Times New Roman" w:hAnsi="Times New Roman"/>
                <w:b/>
                <w:bCs/>
                <w:color w:val="auto"/>
                <w:sz w:val="20"/>
                <w:szCs w:val="20"/>
                <w:highlight w:val="none"/>
                <w:u w:val="single"/>
              </w:rPr>
            </w:pPr>
            <w:r>
              <w:rPr>
                <w:rFonts w:hint="eastAsia" w:ascii="Times New Roman" w:hAnsi="Times New Roman"/>
                <w:b/>
                <w:bCs/>
                <w:color w:val="auto"/>
                <w:sz w:val="20"/>
                <w:szCs w:val="20"/>
                <w:highlight w:val="none"/>
                <w:u w:val="single"/>
              </w:rPr>
              <w:t xml:space="preserve">            </w:t>
            </w:r>
            <w:r>
              <w:rPr>
                <w:rFonts w:ascii="Times New Roman" w:hAnsi="Times New Roman"/>
                <w:b/>
                <w:bCs/>
                <w:color w:val="auto"/>
                <w:sz w:val="20"/>
                <w:szCs w:val="20"/>
                <w:highlight w:val="none"/>
                <w:u w:val="single"/>
              </w:rPr>
              <w:t xml:space="preserve"> </w:t>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Times New Roman" w:hAnsi="Times New Roman"/>
                <w:b/>
                <w:bCs/>
                <w:color w:val="auto"/>
                <w:sz w:val="20"/>
                <w:szCs w:val="20"/>
                <w:highlight w:val="none"/>
              </w:rPr>
            </w:pPr>
            <w:r>
              <w:rPr>
                <w:rFonts w:hint="eastAsia" w:ascii="宋体" w:hAnsi="宋体"/>
                <w:b/>
                <w:bCs/>
                <w:color w:val="auto"/>
                <w:sz w:val="20"/>
                <w:szCs w:val="20"/>
                <w:highlight w:val="none"/>
              </w:rPr>
              <w:t xml:space="preserve">元</w:t>
            </w:r>
            <w:r/>
          </w:p>
        </w:tc>
      </w:tr>
    </w:tbl>
    <w:p>
      <w:pPr>
        <w:pStyle w:val="807"/>
        <w:rPr>
          <w:color w:val="auto"/>
        </w:rPr>
      </w:pPr>
      <w:r>
        <w:rPr>
          <w:rFonts w:hint="eastAsia"/>
          <w:color w:val="auto"/>
          <w:lang w:eastAsia="zh-CN"/>
        </w:rPr>
        <w:t xml:space="preserve">（</w:t>
      </w:r>
      <w:r>
        <w:rPr>
          <w:rFonts w:hint="eastAsia"/>
          <w:color w:val="auto"/>
        </w:rPr>
        <w:t xml:space="preserve">十）★第500章 S122辅道（汤山段）日常养护安全设施及预埋管线服务（单价类）</w:t>
      </w:r>
      <w:r/>
    </w:p>
    <w:tbl>
      <w:tblPr>
        <w:tblStyle w:val="816"/>
        <w:tblW w:w="8574" w:type="dxa"/>
        <w:tblInd w:w="108" w:type="dxa"/>
        <w:tblLayout w:type="autofit"/>
        <w:tblCellMar>
          <w:left w:w="108" w:type="dxa"/>
          <w:top w:w="0" w:type="dxa"/>
          <w:right w:w="108" w:type="dxa"/>
          <w:bottom w:w="0" w:type="dxa"/>
        </w:tblCellMar>
        <w:tblLook w:val="04A0" w:firstRow="1" w:lastRow="0" w:firstColumn="1" w:lastColumn="0" w:noHBand="0" w:noVBand="1"/>
      </w:tblPr>
      <w:tblGrid>
        <w:gridCol w:w="994"/>
        <w:gridCol w:w="26"/>
        <w:gridCol w:w="3032"/>
        <w:gridCol w:w="408"/>
        <w:gridCol w:w="427"/>
        <w:gridCol w:w="593"/>
        <w:gridCol w:w="320"/>
        <w:gridCol w:w="700"/>
        <w:gridCol w:w="244"/>
        <w:gridCol w:w="776"/>
        <w:gridCol w:w="1020"/>
        <w:gridCol w:w="34"/>
      </w:tblGrid>
      <w:tr>
        <w:trPr>
          <w:trHeight w:val="900"/>
        </w:trPr>
        <w:tc>
          <w:tcPr>
            <w:gridSpan w:val="12"/>
            <w:tcBorders>
              <w:top w:val="none" w:color="000000" w:sz="4" w:space="0"/>
              <w:left w:val="none" w:color="000000" w:sz="4" w:space="0"/>
              <w:bottom w:val="none" w:color="000000" w:sz="4" w:space="0"/>
              <w:right w:val="none" w:color="000000" w:sz="4" w:space="0"/>
            </w:tcBorders>
            <w:tcW w:w="8574" w:type="dxa"/>
            <w:vAlign w:val="center"/>
            <w:textDirection w:val="lrTb"/>
            <w:noWrap w:val="false"/>
          </w:tcPr>
          <w:p>
            <w:pPr>
              <w:jc w:val="center"/>
              <w:widowControl/>
              <w:rPr>
                <w:rFonts w:hint="eastAsia" w:ascii="宋体" w:hAnsi="宋体" w:cs="宋体"/>
                <w:b/>
                <w:bCs/>
                <w:color w:val="auto"/>
                <w:sz w:val="28"/>
                <w:szCs w:val="28"/>
                <w:highlight w:val="none"/>
              </w:rPr>
            </w:pPr>
            <w:r/>
            <w:bookmarkStart w:id="118" w:name="RANGE!A1:F32"/>
            <w:r>
              <w:rPr>
                <w:rFonts w:hint="eastAsia" w:ascii="宋体" w:hAnsi="宋体" w:cs="宋体"/>
                <w:b/>
                <w:bCs/>
                <w:color w:val="auto"/>
                <w:sz w:val="28"/>
                <w:szCs w:val="28"/>
                <w:highlight w:val="none"/>
              </w:rPr>
              <w:t xml:space="preserve">第5</w:t>
            </w:r>
            <w:r>
              <w:rPr>
                <w:rFonts w:ascii="Times New Roman" w:hAnsi="Times New Roman"/>
                <w:b/>
                <w:bCs/>
                <w:color w:val="auto"/>
                <w:sz w:val="28"/>
                <w:szCs w:val="28"/>
                <w:highlight w:val="none"/>
              </w:rPr>
              <w:t xml:space="preserve">00</w:t>
            </w:r>
            <w:r>
              <w:rPr>
                <w:rFonts w:hint="eastAsia" w:ascii="宋体" w:hAnsi="宋体" w:cs="宋体"/>
                <w:b/>
                <w:bCs/>
                <w:color w:val="auto"/>
                <w:sz w:val="28"/>
                <w:szCs w:val="28"/>
                <w:highlight w:val="none"/>
              </w:rPr>
              <w:t xml:space="preserve">章</w:t>
            </w:r>
            <w:r>
              <w:rPr>
                <w:rFonts w:ascii="Times New Roman" w:hAnsi="Times New Roman"/>
                <w:b/>
                <w:bCs/>
                <w:color w:val="auto"/>
                <w:sz w:val="28"/>
                <w:szCs w:val="28"/>
                <w:highlight w:val="none"/>
              </w:rPr>
              <w:t xml:space="preserve">   S122</w:t>
            </w:r>
            <w:r>
              <w:rPr>
                <w:rFonts w:hint="eastAsia" w:ascii="宋体" w:hAnsi="宋体" w:cs="宋体"/>
                <w:b/>
                <w:bCs/>
                <w:color w:val="auto"/>
                <w:sz w:val="28"/>
                <w:szCs w:val="28"/>
                <w:highlight w:val="none"/>
              </w:rPr>
              <w:t xml:space="preserve">辅道（汤山段）日常养护                               安全设施及预埋管线服务（单价类）</w:t>
            </w:r>
            <w:bookmarkEnd w:id="118"/>
            <w:r/>
            <w:r/>
          </w:p>
        </w:tc>
      </w:tr>
      <w:tr>
        <w:trPr>
          <w:trHeight w:val="501"/>
        </w:trPr>
        <w:tc>
          <w:tcPr>
            <w:tcBorders>
              <w:top w:val="none" w:color="000000" w:sz="4" w:space="0"/>
              <w:left w:val="none" w:color="000000" w:sz="4" w:space="0"/>
              <w:bottom w:val="single" w:color="auto" w:sz="4" w:space="0"/>
              <w:right w:val="none" w:color="000000" w:sz="4" w:space="0"/>
            </w:tcBorders>
            <w:tcW w:w="994" w:type="dxa"/>
            <w:vAlign w:val="center"/>
            <w:textDirection w:val="lrTb"/>
            <w:noWrap/>
          </w:tcPr>
          <w:p>
            <w:pPr>
              <w:jc w:val="left"/>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gridSpan w:val="2"/>
            <w:tcBorders>
              <w:top w:val="none" w:color="000000" w:sz="4" w:space="0"/>
              <w:left w:val="none" w:color="000000" w:sz="4" w:space="0"/>
              <w:bottom w:val="single" w:color="auto" w:sz="4" w:space="0"/>
              <w:right w:val="none" w:color="000000" w:sz="4" w:space="0"/>
            </w:tcBorders>
            <w:tcW w:w="3058" w:type="dxa"/>
            <w:vAlign w:val="center"/>
            <w:textDirection w:val="lrTb"/>
            <w:noWrap/>
          </w:tcPr>
          <w:p>
            <w:pPr>
              <w:jc w:val="lef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gridSpan w:val="2"/>
            <w:tcBorders>
              <w:top w:val="none" w:color="000000" w:sz="4" w:space="0"/>
              <w:left w:val="none" w:color="000000" w:sz="4" w:space="0"/>
              <w:bottom w:val="single" w:color="auto" w:sz="4" w:space="0"/>
              <w:right w:val="none" w:color="000000" w:sz="4" w:space="0"/>
            </w:tcBorders>
            <w:tcW w:w="835" w:type="dxa"/>
            <w:vAlign w:val="center"/>
            <w:textDirection w:val="lrTb"/>
            <w:noWrap/>
          </w:tcPr>
          <w:p>
            <w:pPr>
              <w:jc w:val="lef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gridSpan w:val="2"/>
            <w:shd w:val="clear" w:color="000000" w:fill="ffffff"/>
            <w:tcBorders>
              <w:top w:val="none" w:color="000000" w:sz="4" w:space="0"/>
              <w:left w:val="none" w:color="000000" w:sz="4" w:space="0"/>
              <w:bottom w:val="single" w:color="auto" w:sz="4" w:space="0"/>
              <w:right w:val="none" w:color="000000" w:sz="4" w:space="0"/>
            </w:tcBorders>
            <w:tcW w:w="913" w:type="dxa"/>
            <w:vAlign w:val="center"/>
            <w:textDirection w:val="lrTb"/>
            <w:noWrap/>
          </w:tcPr>
          <w:p>
            <w:pPr>
              <w:jc w:val="lef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gridSpan w:val="2"/>
            <w:tcBorders>
              <w:top w:val="none" w:color="000000" w:sz="4" w:space="0"/>
              <w:left w:val="none" w:color="000000" w:sz="4" w:space="0"/>
              <w:bottom w:val="single" w:color="auto" w:sz="4" w:space="0"/>
              <w:right w:val="none" w:color="000000" w:sz="4" w:space="0"/>
            </w:tcBorders>
            <w:tcW w:w="944" w:type="dxa"/>
            <w:vAlign w:val="center"/>
            <w:textDirection w:val="lrTb"/>
            <w:noWrap/>
          </w:tcPr>
          <w:p>
            <w:pPr>
              <w:jc w:val="lef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gridSpan w:val="3"/>
            <w:tcBorders>
              <w:top w:val="none" w:color="000000" w:sz="4" w:space="0"/>
              <w:left w:val="none" w:color="000000" w:sz="4" w:space="0"/>
              <w:bottom w:val="single" w:color="auto" w:sz="4" w:space="0"/>
              <w:right w:val="none" w:color="000000" w:sz="4" w:space="0"/>
            </w:tcBorders>
            <w:tcW w:w="1830" w:type="dxa"/>
            <w:vAlign w:val="center"/>
            <w:textDirection w:val="lrTb"/>
            <w:noWrap/>
          </w:tcPr>
          <w:p>
            <w:pPr>
              <w:jc w:val="right"/>
              <w:widowControl/>
              <w:rPr>
                <w:rFonts w:ascii="Times New Roman" w:hAnsi="Times New Roman"/>
                <w:color w:val="auto"/>
                <w:sz w:val="20"/>
                <w:szCs w:val="20"/>
                <w:highlight w:val="none"/>
              </w:rPr>
            </w:pPr>
            <w:r>
              <w:rPr>
                <w:rFonts w:hint="eastAsia" w:ascii="宋体" w:hAnsi="宋体"/>
                <w:color w:val="auto"/>
                <w:sz w:val="20"/>
                <w:szCs w:val="20"/>
                <w:highlight w:val="none"/>
              </w:rPr>
              <w:t xml:space="preserve">货币单位：人民币元</w:t>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994" w:type="dxa"/>
            <w:vAlign w:val="center"/>
            <w:textDirection w:val="lrTb"/>
            <w:noWrap w:val="false"/>
          </w:tcPr>
          <w:p>
            <w:pPr>
              <w:jc w:val="center"/>
              <w:widowControl/>
              <w:rPr>
                <w:rFonts w:ascii="Times New Roman" w:hAnsi="Times New Roman"/>
                <w:b/>
                <w:bCs/>
                <w:color w:val="auto"/>
                <w:sz w:val="20"/>
                <w:szCs w:val="20"/>
                <w:highlight w:val="none"/>
              </w:rPr>
            </w:pPr>
            <w:r>
              <w:rPr>
                <w:rFonts w:hint="eastAsia" w:ascii="宋体" w:hAnsi="宋体"/>
                <w:b/>
                <w:bCs/>
                <w:color w:val="auto"/>
                <w:sz w:val="20"/>
                <w:szCs w:val="20"/>
                <w:highlight w:val="none"/>
              </w:rPr>
              <w:t xml:space="preserve">细目号</w:t>
            </w:r>
            <w:r/>
          </w:p>
        </w:tc>
        <w:tc>
          <w:tcPr>
            <w:gridSpan w:val="2"/>
            <w:shd w:val="clear" w:color="000000" w:fill="ffffff"/>
            <w:tcBorders>
              <w:top w:val="none" w:color="000000" w:sz="4" w:space="0"/>
              <w:left w:val="none" w:color="000000" w:sz="4" w:space="0"/>
              <w:bottom w:val="single" w:color="auto" w:sz="4" w:space="0"/>
              <w:right w:val="single" w:color="auto" w:sz="4" w:space="0"/>
            </w:tcBorders>
            <w:tcW w:w="3058" w:type="dxa"/>
            <w:vAlign w:val="center"/>
            <w:textDirection w:val="lrTb"/>
            <w:noWrap/>
          </w:tcPr>
          <w:p>
            <w:pPr>
              <w:jc w:val="center"/>
              <w:widowControl/>
              <w:rPr>
                <w:rFonts w:ascii="Times New Roman" w:hAnsi="Times New Roman"/>
                <w:b/>
                <w:bCs/>
                <w:color w:val="auto"/>
                <w:sz w:val="20"/>
                <w:szCs w:val="20"/>
                <w:highlight w:val="none"/>
              </w:rPr>
            </w:pPr>
            <w:r>
              <w:rPr>
                <w:rFonts w:hint="eastAsia" w:ascii="宋体" w:hAnsi="宋体"/>
                <w:b/>
                <w:bCs/>
                <w:color w:val="auto"/>
                <w:sz w:val="20"/>
                <w:szCs w:val="20"/>
                <w:highlight w:val="none"/>
              </w:rPr>
              <w:t xml:space="preserve">细</w:t>
            </w:r>
            <w:r>
              <w:rPr>
                <w:rFonts w:ascii="Times New Roman" w:hAnsi="Times New Roman"/>
                <w:b/>
                <w:bCs/>
                <w:color w:val="auto"/>
                <w:sz w:val="20"/>
                <w:szCs w:val="20"/>
                <w:highlight w:val="none"/>
              </w:rPr>
              <w:t xml:space="preserve">   </w:t>
            </w:r>
            <w:r>
              <w:rPr>
                <w:rFonts w:hint="eastAsia" w:ascii="宋体" w:hAnsi="宋体"/>
                <w:b/>
                <w:bCs/>
                <w:color w:val="auto"/>
                <w:sz w:val="20"/>
                <w:szCs w:val="20"/>
                <w:highlight w:val="none"/>
              </w:rPr>
              <w:t xml:space="preserve">目</w:t>
            </w:r>
            <w:r>
              <w:rPr>
                <w:rFonts w:ascii="Times New Roman" w:hAnsi="Times New Roman"/>
                <w:b/>
                <w:bCs/>
                <w:color w:val="auto"/>
                <w:sz w:val="20"/>
                <w:szCs w:val="20"/>
                <w:highlight w:val="none"/>
              </w:rPr>
              <w:t xml:space="preserve">   </w:t>
            </w:r>
            <w:r>
              <w:rPr>
                <w:rFonts w:hint="eastAsia" w:ascii="宋体" w:hAnsi="宋体"/>
                <w:b/>
                <w:bCs/>
                <w:color w:val="auto"/>
                <w:sz w:val="20"/>
                <w:szCs w:val="20"/>
                <w:highlight w:val="none"/>
              </w:rPr>
              <w:t xml:space="preserve">名</w:t>
            </w:r>
            <w:r>
              <w:rPr>
                <w:rFonts w:ascii="Times New Roman" w:hAnsi="Times New Roman"/>
                <w:b/>
                <w:bCs/>
                <w:color w:val="auto"/>
                <w:sz w:val="20"/>
                <w:szCs w:val="20"/>
                <w:highlight w:val="none"/>
              </w:rPr>
              <w:t xml:space="preserve">    </w:t>
            </w:r>
            <w:r>
              <w:rPr>
                <w:rFonts w:hint="eastAsia" w:ascii="宋体" w:hAnsi="宋体"/>
                <w:b/>
                <w:bCs/>
                <w:color w:val="auto"/>
                <w:sz w:val="20"/>
                <w:szCs w:val="20"/>
                <w:highlight w:val="none"/>
              </w:rPr>
              <w:t xml:space="preserve">称</w:t>
            </w:r>
            <w:r/>
          </w:p>
        </w:tc>
        <w:tc>
          <w:tcPr>
            <w:gridSpan w:val="2"/>
            <w:shd w:val="clear" w:color="000000" w:fill="ffffff"/>
            <w:tcBorders>
              <w:top w:val="none" w:color="000000" w:sz="4" w:space="0"/>
              <w:left w:val="none" w:color="000000" w:sz="4" w:space="0"/>
              <w:bottom w:val="single" w:color="auto" w:sz="4" w:space="0"/>
              <w:right w:val="single" w:color="auto" w:sz="4" w:space="0"/>
            </w:tcBorders>
            <w:tcW w:w="835" w:type="dxa"/>
            <w:vAlign w:val="center"/>
            <w:textDirection w:val="lrTb"/>
            <w:noWrap/>
          </w:tcPr>
          <w:p>
            <w:pPr>
              <w:jc w:val="center"/>
              <w:widowControl/>
              <w:rPr>
                <w:rFonts w:ascii="Times New Roman" w:hAnsi="Times New Roman"/>
                <w:b/>
                <w:bCs/>
                <w:color w:val="auto"/>
                <w:sz w:val="20"/>
                <w:szCs w:val="20"/>
                <w:highlight w:val="none"/>
              </w:rPr>
            </w:pPr>
            <w:r>
              <w:rPr>
                <w:rFonts w:hint="eastAsia" w:ascii="宋体" w:hAnsi="宋体"/>
                <w:b/>
                <w:bCs/>
                <w:color w:val="auto"/>
                <w:sz w:val="20"/>
                <w:szCs w:val="20"/>
                <w:highlight w:val="none"/>
              </w:rPr>
              <w:t xml:space="preserve">单位</w:t>
            </w:r>
            <w:r/>
          </w:p>
        </w:tc>
        <w:tc>
          <w:tcPr>
            <w:gridSpan w:val="2"/>
            <w:shd w:val="clear" w:color="000000" w:fill="ffffff"/>
            <w:tcBorders>
              <w:top w:val="none" w:color="000000" w:sz="4" w:space="0"/>
              <w:left w:val="none" w:color="000000" w:sz="4" w:space="0"/>
              <w:bottom w:val="single" w:color="auto" w:sz="4" w:space="0"/>
              <w:right w:val="single" w:color="auto" w:sz="4" w:space="0"/>
            </w:tcBorders>
            <w:tcW w:w="913" w:type="dxa"/>
            <w:vAlign w:val="center"/>
            <w:textDirection w:val="lrTb"/>
            <w:noWrap w:val="false"/>
          </w:tcPr>
          <w:p>
            <w:pPr>
              <w:jc w:val="center"/>
              <w:widowControl/>
              <w:rPr>
                <w:rFonts w:ascii="Times New Roman" w:hAnsi="Times New Roman"/>
                <w:b/>
                <w:bCs/>
                <w:color w:val="auto"/>
                <w:sz w:val="20"/>
                <w:szCs w:val="20"/>
                <w:highlight w:val="none"/>
              </w:rPr>
            </w:pPr>
            <w:r>
              <w:rPr>
                <w:rFonts w:hint="eastAsia" w:ascii="宋体" w:hAnsi="宋体"/>
                <w:b/>
                <w:bCs/>
                <w:color w:val="auto"/>
                <w:sz w:val="20"/>
                <w:szCs w:val="20"/>
                <w:highlight w:val="none"/>
              </w:rPr>
              <w:t xml:space="preserve">数量</w:t>
            </w:r>
            <w:r/>
          </w:p>
        </w:tc>
        <w:tc>
          <w:tcPr>
            <w:gridSpan w:val="2"/>
            <w:shd w:val="clear" w:color="000000" w:fill="ffffff"/>
            <w:tcBorders>
              <w:top w:val="none" w:color="000000" w:sz="4" w:space="0"/>
              <w:left w:val="none" w:color="000000" w:sz="4" w:space="0"/>
              <w:bottom w:val="single" w:color="auto" w:sz="4" w:space="0"/>
              <w:right w:val="single" w:color="auto" w:sz="4" w:space="0"/>
            </w:tcBorders>
            <w:tcW w:w="944" w:type="dxa"/>
            <w:vAlign w:val="center"/>
            <w:textDirection w:val="lrTb"/>
            <w:noWrap/>
          </w:tcPr>
          <w:p>
            <w:pPr>
              <w:jc w:val="center"/>
              <w:widowControl/>
              <w:rPr>
                <w:rFonts w:ascii="Times New Roman" w:hAnsi="Times New Roman"/>
                <w:b/>
                <w:bCs/>
                <w:color w:val="auto"/>
                <w:sz w:val="20"/>
                <w:szCs w:val="20"/>
                <w:highlight w:val="none"/>
              </w:rPr>
            </w:pPr>
            <w:r>
              <w:rPr>
                <w:rFonts w:hint="eastAsia" w:ascii="宋体" w:hAnsi="宋体"/>
                <w:b/>
                <w:bCs/>
                <w:color w:val="auto"/>
                <w:sz w:val="20"/>
                <w:szCs w:val="20"/>
                <w:highlight w:val="none"/>
              </w:rPr>
              <w:t xml:space="preserve">单价</w:t>
            </w:r>
            <w:r/>
          </w:p>
        </w:tc>
        <w:tc>
          <w:tcPr>
            <w:gridSpan w:val="3"/>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tcPr>
          <w:p>
            <w:pPr>
              <w:jc w:val="center"/>
              <w:widowControl/>
              <w:rPr>
                <w:rFonts w:ascii="Times New Roman" w:hAnsi="Times New Roman"/>
                <w:b/>
                <w:bCs/>
                <w:color w:val="auto"/>
                <w:sz w:val="20"/>
                <w:szCs w:val="20"/>
                <w:highlight w:val="none"/>
              </w:rPr>
            </w:pPr>
            <w:r>
              <w:rPr>
                <w:rFonts w:hint="eastAsia" w:ascii="宋体" w:hAnsi="宋体"/>
                <w:b/>
                <w:bCs/>
                <w:color w:val="auto"/>
                <w:sz w:val="20"/>
                <w:szCs w:val="20"/>
                <w:highlight w:val="none"/>
              </w:rPr>
              <w:t xml:space="preserve">合价</w:t>
            </w:r>
            <w:r/>
          </w:p>
        </w:tc>
      </w:tr>
      <w:tr>
        <w:trPr>
          <w:trHeight w:val="501"/>
        </w:trPr>
        <w:tc>
          <w:tcPr>
            <w:tcBorders>
              <w:top w:val="none" w:color="000000" w:sz="4" w:space="0"/>
              <w:left w:val="single" w:color="auto" w:sz="4" w:space="0"/>
              <w:bottom w:val="single" w:color="auto" w:sz="4" w:space="0"/>
              <w:right w:val="single" w:color="auto" w:sz="4" w:space="0"/>
            </w:tcBorders>
            <w:tcW w:w="994"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S122JAD</w:t>
            </w:r>
            <w:r/>
          </w:p>
        </w:tc>
        <w:tc>
          <w:tcPr>
            <w:gridSpan w:val="2"/>
            <w:tcBorders>
              <w:top w:val="none" w:color="000000" w:sz="4" w:space="0"/>
              <w:left w:val="none" w:color="000000" w:sz="4" w:space="0"/>
              <w:bottom w:val="single" w:color="auto" w:sz="4" w:space="0"/>
              <w:right w:val="single" w:color="auto" w:sz="4" w:space="0"/>
            </w:tcBorders>
            <w:tcW w:w="3058" w:type="dxa"/>
            <w:vAlign w:val="center"/>
            <w:textDirection w:val="lrTb"/>
            <w:noWrap w:val="false"/>
          </w:tcPr>
          <w:p>
            <w:pPr>
              <w:jc w:val="lef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835"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913"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944"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gridSpan w:val="3"/>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r>
      <w:tr>
        <w:trPr>
          <w:trHeight w:val="501"/>
        </w:trPr>
        <w:tc>
          <w:tcPr>
            <w:tcBorders>
              <w:top w:val="none" w:color="000000" w:sz="4" w:space="0"/>
              <w:left w:val="single" w:color="auto" w:sz="4" w:space="0"/>
              <w:bottom w:val="single" w:color="auto" w:sz="4" w:space="0"/>
              <w:right w:val="single" w:color="auto" w:sz="4" w:space="0"/>
            </w:tcBorders>
            <w:tcW w:w="994"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-01</w:t>
            </w:r>
            <w:r/>
          </w:p>
        </w:tc>
        <w:tc>
          <w:tcPr>
            <w:gridSpan w:val="2"/>
            <w:shd w:val="clear" w:color="000000" w:fill="ffffff"/>
            <w:tcBorders>
              <w:top w:val="none" w:color="000000" w:sz="4" w:space="0"/>
              <w:left w:val="none" w:color="000000" w:sz="4" w:space="0"/>
              <w:bottom w:val="single" w:color="auto" w:sz="4" w:space="0"/>
              <w:right w:val="single" w:color="auto" w:sz="4" w:space="0"/>
            </w:tcBorders>
            <w:tcW w:w="3058"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标志、标牌面板维修更换服务</w:t>
            </w:r>
            <w:r/>
          </w:p>
        </w:tc>
        <w:tc>
          <w:tcPr>
            <w:gridSpan w:val="2"/>
            <w:shd w:val="clear" w:color="000000" w:fill="ffffff"/>
            <w:tcBorders>
              <w:top w:val="none" w:color="000000" w:sz="4" w:space="0"/>
              <w:left w:val="none" w:color="000000" w:sz="4" w:space="0"/>
              <w:bottom w:val="single" w:color="auto" w:sz="4" w:space="0"/>
              <w:right w:val="single" w:color="auto" w:sz="4" w:space="0"/>
            </w:tcBorders>
            <w:tcW w:w="835"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913"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944"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gridSpan w:val="3"/>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994"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-a</w:t>
            </w:r>
            <w:r/>
          </w:p>
        </w:tc>
        <w:tc>
          <w:tcPr>
            <w:gridSpan w:val="2"/>
            <w:shd w:val="clear" w:color="000000" w:fill="ffffff"/>
            <w:tcBorders>
              <w:top w:val="none" w:color="000000" w:sz="4" w:space="0"/>
              <w:left w:val="none" w:color="000000" w:sz="4" w:space="0"/>
              <w:bottom w:val="single" w:color="auto" w:sz="4" w:space="0"/>
              <w:right w:val="single" w:color="auto" w:sz="4" w:space="0"/>
            </w:tcBorders>
            <w:tcW w:w="3058"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标志、标牌面板维修更换服务</w:t>
            </w:r>
            <w:r/>
          </w:p>
        </w:tc>
        <w:tc>
          <w:tcPr>
            <w:gridSpan w:val="2"/>
            <w:shd w:val="clear" w:color="000000" w:fill="ffffff"/>
            <w:tcBorders>
              <w:top w:val="none" w:color="000000" w:sz="4" w:space="0"/>
              <w:left w:val="none" w:color="000000" w:sz="4" w:space="0"/>
              <w:bottom w:val="single" w:color="auto" w:sz="4" w:space="0"/>
              <w:right w:val="single" w:color="auto" w:sz="4" w:space="0"/>
            </w:tcBorders>
            <w:tcW w:w="835"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m</w:t>
            </w:r>
            <w:r>
              <w:rPr>
                <w:rFonts w:ascii="Times New Roman" w:hAnsi="Times New Roman"/>
                <w:color w:val="auto"/>
                <w:sz w:val="20"/>
                <w:szCs w:val="20"/>
                <w:highlight w:val="none"/>
                <w:vertAlign w:val="superscript"/>
              </w:rPr>
              <w:t xml:space="preserve">2</w:t>
            </w:r>
            <w:r/>
          </w:p>
        </w:tc>
        <w:tc>
          <w:tcPr>
            <w:gridSpan w:val="2"/>
            <w:shd w:val="clear" w:color="000000" w:fill="ffffff"/>
            <w:tcBorders>
              <w:top w:val="none" w:color="000000" w:sz="4" w:space="0"/>
              <w:left w:val="none" w:color="000000" w:sz="4" w:space="0"/>
              <w:bottom w:val="single" w:color="auto" w:sz="4" w:space="0"/>
              <w:right w:val="single" w:color="auto" w:sz="4" w:space="0"/>
            </w:tcBorders>
            <w:tcW w:w="913"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8 </w:t>
            </w:r>
            <w:r/>
          </w:p>
        </w:tc>
        <w:tc>
          <w:tcPr>
            <w:gridSpan w:val="2"/>
            <w:shd w:val="clear" w:color="000000" w:fill="ffffff"/>
            <w:tcBorders>
              <w:top w:val="none" w:color="000000" w:sz="4" w:space="0"/>
              <w:left w:val="none" w:color="000000" w:sz="4" w:space="0"/>
              <w:bottom w:val="single" w:color="auto" w:sz="4" w:space="0"/>
              <w:right w:val="single" w:color="auto" w:sz="4" w:space="0"/>
            </w:tcBorders>
            <w:tcW w:w="944"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gridSpan w:val="3"/>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994"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-b</w:t>
            </w:r>
            <w:r/>
          </w:p>
        </w:tc>
        <w:tc>
          <w:tcPr>
            <w:gridSpan w:val="2"/>
            <w:shd w:val="clear" w:color="000000" w:fill="ffffff"/>
            <w:tcBorders>
              <w:top w:val="none" w:color="000000" w:sz="4" w:space="0"/>
              <w:left w:val="none" w:color="000000" w:sz="4" w:space="0"/>
              <w:bottom w:val="single" w:color="auto" w:sz="4" w:space="0"/>
              <w:right w:val="single" w:color="auto" w:sz="4" w:space="0"/>
            </w:tcBorders>
            <w:tcW w:w="3058"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标志、标牌面板板面修整服务</w:t>
            </w:r>
            <w:r/>
          </w:p>
        </w:tc>
        <w:tc>
          <w:tcPr>
            <w:gridSpan w:val="2"/>
            <w:shd w:val="clear" w:color="000000" w:fill="ffffff"/>
            <w:tcBorders>
              <w:top w:val="none" w:color="000000" w:sz="4" w:space="0"/>
              <w:left w:val="none" w:color="000000" w:sz="4" w:space="0"/>
              <w:bottom w:val="single" w:color="auto" w:sz="4" w:space="0"/>
              <w:right w:val="single" w:color="auto" w:sz="4" w:space="0"/>
            </w:tcBorders>
            <w:tcW w:w="835"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m</w:t>
            </w:r>
            <w:r>
              <w:rPr>
                <w:rFonts w:ascii="Times New Roman" w:hAnsi="Times New Roman"/>
                <w:color w:val="auto"/>
                <w:sz w:val="20"/>
                <w:szCs w:val="20"/>
                <w:highlight w:val="none"/>
                <w:vertAlign w:val="superscript"/>
              </w:rPr>
              <w:t xml:space="preserve">2</w:t>
            </w:r>
            <w:r/>
          </w:p>
        </w:tc>
        <w:tc>
          <w:tcPr>
            <w:gridSpan w:val="2"/>
            <w:shd w:val="clear" w:color="000000" w:fill="ffffff"/>
            <w:tcBorders>
              <w:top w:val="none" w:color="000000" w:sz="4" w:space="0"/>
              <w:left w:val="none" w:color="000000" w:sz="4" w:space="0"/>
              <w:bottom w:val="single" w:color="auto" w:sz="4" w:space="0"/>
              <w:right w:val="single" w:color="auto" w:sz="4" w:space="0"/>
            </w:tcBorders>
            <w:tcW w:w="913"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6 </w:t>
            </w:r>
            <w:r/>
          </w:p>
        </w:tc>
        <w:tc>
          <w:tcPr>
            <w:gridSpan w:val="2"/>
            <w:shd w:val="clear" w:color="000000" w:fill="ffffff"/>
            <w:tcBorders>
              <w:top w:val="none" w:color="000000" w:sz="4" w:space="0"/>
              <w:left w:val="none" w:color="000000" w:sz="4" w:space="0"/>
              <w:bottom w:val="single" w:color="auto" w:sz="4" w:space="0"/>
              <w:right w:val="single" w:color="auto" w:sz="4" w:space="0"/>
            </w:tcBorders>
            <w:tcW w:w="944"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gridSpan w:val="3"/>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994"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-c</w:t>
            </w:r>
            <w:r/>
          </w:p>
        </w:tc>
        <w:tc>
          <w:tcPr>
            <w:gridSpan w:val="2"/>
            <w:shd w:val="clear" w:color="000000" w:fill="ffffff"/>
            <w:tcBorders>
              <w:top w:val="none" w:color="000000" w:sz="4" w:space="0"/>
              <w:left w:val="none" w:color="000000" w:sz="4" w:space="0"/>
              <w:bottom w:val="single" w:color="auto" w:sz="4" w:space="0"/>
              <w:right w:val="single" w:color="auto" w:sz="4" w:space="0"/>
            </w:tcBorders>
            <w:tcW w:w="3058"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标志、标牌面板反光膜更换服务</w:t>
            </w:r>
            <w:r/>
          </w:p>
        </w:tc>
        <w:tc>
          <w:tcPr>
            <w:gridSpan w:val="2"/>
            <w:shd w:val="clear" w:color="000000" w:fill="ffffff"/>
            <w:tcBorders>
              <w:top w:val="none" w:color="000000" w:sz="4" w:space="0"/>
              <w:left w:val="none" w:color="000000" w:sz="4" w:space="0"/>
              <w:bottom w:val="single" w:color="auto" w:sz="4" w:space="0"/>
              <w:right w:val="single" w:color="auto" w:sz="4" w:space="0"/>
            </w:tcBorders>
            <w:tcW w:w="835"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m</w:t>
            </w:r>
            <w:r>
              <w:rPr>
                <w:rFonts w:ascii="Times New Roman" w:hAnsi="Times New Roman"/>
                <w:color w:val="auto"/>
                <w:sz w:val="20"/>
                <w:szCs w:val="20"/>
                <w:highlight w:val="none"/>
                <w:vertAlign w:val="superscript"/>
              </w:rPr>
              <w:t xml:space="preserve">2</w:t>
            </w:r>
            <w:r/>
          </w:p>
        </w:tc>
        <w:tc>
          <w:tcPr>
            <w:gridSpan w:val="2"/>
            <w:shd w:val="clear" w:color="000000" w:fill="ffffff"/>
            <w:tcBorders>
              <w:top w:val="none" w:color="000000" w:sz="4" w:space="0"/>
              <w:left w:val="none" w:color="000000" w:sz="4" w:space="0"/>
              <w:bottom w:val="single" w:color="auto" w:sz="4" w:space="0"/>
              <w:right w:val="single" w:color="auto" w:sz="4" w:space="0"/>
            </w:tcBorders>
            <w:tcW w:w="913"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6 </w:t>
            </w:r>
            <w:r/>
          </w:p>
        </w:tc>
        <w:tc>
          <w:tcPr>
            <w:gridSpan w:val="2"/>
            <w:shd w:val="clear" w:color="000000" w:fill="ffffff"/>
            <w:tcBorders>
              <w:top w:val="none" w:color="000000" w:sz="4" w:space="0"/>
              <w:left w:val="none" w:color="000000" w:sz="4" w:space="0"/>
              <w:bottom w:val="single" w:color="auto" w:sz="4" w:space="0"/>
              <w:right w:val="single" w:color="auto" w:sz="4" w:space="0"/>
            </w:tcBorders>
            <w:tcW w:w="944"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gridSpan w:val="3"/>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tcBorders>
              <w:top w:val="none" w:color="000000" w:sz="4" w:space="0"/>
              <w:left w:val="single" w:color="auto" w:sz="4" w:space="0"/>
              <w:bottom w:val="single" w:color="auto" w:sz="4" w:space="0"/>
              <w:right w:val="single" w:color="auto" w:sz="4" w:space="0"/>
            </w:tcBorders>
            <w:tcW w:w="994"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-02</w:t>
            </w:r>
            <w:r/>
          </w:p>
        </w:tc>
        <w:tc>
          <w:tcPr>
            <w:gridSpan w:val="2"/>
            <w:shd w:val="clear" w:color="000000" w:fill="ffffff"/>
            <w:tcBorders>
              <w:top w:val="none" w:color="000000" w:sz="4" w:space="0"/>
              <w:left w:val="none" w:color="000000" w:sz="4" w:space="0"/>
              <w:bottom w:val="single" w:color="auto" w:sz="4" w:space="0"/>
              <w:right w:val="single" w:color="auto" w:sz="4" w:space="0"/>
            </w:tcBorders>
            <w:tcW w:w="3058" w:type="dxa"/>
            <w:vAlign w:val="center"/>
            <w:textDirection w:val="lrTb"/>
            <w:noWrap/>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单柱式交通标志服务</w:t>
            </w:r>
            <w:r/>
          </w:p>
        </w:tc>
        <w:tc>
          <w:tcPr>
            <w:gridSpan w:val="2"/>
            <w:shd w:val="clear" w:color="000000" w:fill="ffffff"/>
            <w:tcBorders>
              <w:top w:val="none" w:color="000000" w:sz="4" w:space="0"/>
              <w:left w:val="none" w:color="000000" w:sz="4" w:space="0"/>
              <w:bottom w:val="single" w:color="auto" w:sz="4" w:space="0"/>
              <w:right w:val="single" w:color="auto" w:sz="4" w:space="0"/>
            </w:tcBorders>
            <w:tcW w:w="835"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913"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944"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gridSpan w:val="3"/>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994"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-a</w:t>
            </w:r>
            <w:r/>
          </w:p>
        </w:tc>
        <w:tc>
          <w:tcPr>
            <w:gridSpan w:val="2"/>
            <w:shd w:val="clear" w:color="000000" w:fill="ffffff"/>
            <w:tcBorders>
              <w:top w:val="none" w:color="000000" w:sz="4" w:space="0"/>
              <w:left w:val="none" w:color="000000" w:sz="4" w:space="0"/>
              <w:bottom w:val="single" w:color="auto" w:sz="4" w:space="0"/>
              <w:right w:val="single" w:color="auto" w:sz="4" w:space="0"/>
            </w:tcBorders>
            <w:tcW w:w="3058"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正三角形服务△</w:t>
            </w:r>
            <w:r>
              <w:rPr>
                <w:rFonts w:ascii="Times New Roman" w:hAnsi="Times New Roman"/>
                <w:color w:val="auto"/>
                <w:sz w:val="20"/>
                <w:szCs w:val="20"/>
                <w:highlight w:val="none"/>
              </w:rPr>
              <w:t xml:space="preserve">A=90cm</w:t>
            </w:r>
            <w:r/>
          </w:p>
        </w:tc>
        <w:tc>
          <w:tcPr>
            <w:gridSpan w:val="2"/>
            <w:shd w:val="clear" w:color="000000" w:fill="ffffff"/>
            <w:tcBorders>
              <w:top w:val="none" w:color="000000" w:sz="4" w:space="0"/>
              <w:left w:val="none" w:color="000000" w:sz="4" w:space="0"/>
              <w:bottom w:val="single" w:color="auto" w:sz="4" w:space="0"/>
              <w:right w:val="single" w:color="auto" w:sz="4" w:space="0"/>
            </w:tcBorders>
            <w:tcW w:w="835" w:type="dxa"/>
            <w:vAlign w:val="center"/>
            <w:textDirection w:val="lrTb"/>
            <w:noWrap w:val="false"/>
          </w:tcPr>
          <w:p>
            <w:pPr>
              <w:jc w:val="center"/>
              <w:widowControl/>
              <w:rPr>
                <w:rFonts w:ascii="Times New Roman" w:hAnsi="Times New Roman"/>
                <w:color w:val="auto"/>
                <w:sz w:val="20"/>
                <w:szCs w:val="20"/>
                <w:highlight w:val="none"/>
              </w:rPr>
            </w:pPr>
            <w:r>
              <w:rPr>
                <w:rFonts w:hint="eastAsia" w:ascii="宋体" w:hAnsi="宋体"/>
                <w:color w:val="auto"/>
                <w:sz w:val="20"/>
                <w:szCs w:val="20"/>
                <w:highlight w:val="none"/>
              </w:rPr>
              <w:t xml:space="preserve">套</w:t>
            </w:r>
            <w:r/>
          </w:p>
        </w:tc>
        <w:tc>
          <w:tcPr>
            <w:gridSpan w:val="2"/>
            <w:shd w:val="clear" w:color="000000" w:fill="ffffff"/>
            <w:tcBorders>
              <w:top w:val="none" w:color="000000" w:sz="4" w:space="0"/>
              <w:left w:val="none" w:color="000000" w:sz="4" w:space="0"/>
              <w:bottom w:val="single" w:color="auto" w:sz="4" w:space="0"/>
              <w:right w:val="single" w:color="auto" w:sz="4" w:space="0"/>
            </w:tcBorders>
            <w:tcW w:w="913"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2 </w:t>
            </w:r>
            <w:r/>
          </w:p>
        </w:tc>
        <w:tc>
          <w:tcPr>
            <w:gridSpan w:val="2"/>
            <w:shd w:val="clear" w:color="000000" w:fill="ffffff"/>
            <w:tcBorders>
              <w:top w:val="none" w:color="000000" w:sz="4" w:space="0"/>
              <w:left w:val="none" w:color="000000" w:sz="4" w:space="0"/>
              <w:bottom w:val="single" w:color="auto" w:sz="4" w:space="0"/>
              <w:right w:val="single" w:color="auto" w:sz="4" w:space="0"/>
            </w:tcBorders>
            <w:tcW w:w="944"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gridSpan w:val="3"/>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994"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-b</w:t>
            </w:r>
            <w:r/>
          </w:p>
        </w:tc>
        <w:tc>
          <w:tcPr>
            <w:gridSpan w:val="2"/>
            <w:shd w:val="clear" w:color="000000" w:fill="ffffff"/>
            <w:tcBorders>
              <w:top w:val="none" w:color="000000" w:sz="4" w:space="0"/>
              <w:left w:val="none" w:color="000000" w:sz="4" w:space="0"/>
              <w:bottom w:val="single" w:color="auto" w:sz="4" w:space="0"/>
              <w:right w:val="single" w:color="auto" w:sz="4" w:space="0"/>
            </w:tcBorders>
            <w:tcW w:w="3058"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圆形服务</w:t>
            </w:r>
            <w:r>
              <w:rPr>
                <w:rFonts w:ascii="Times New Roman" w:hAnsi="Times New Roman"/>
                <w:color w:val="auto"/>
                <w:sz w:val="20"/>
                <w:szCs w:val="20"/>
                <w:highlight w:val="none"/>
              </w:rPr>
              <w:t xml:space="preserve">D=80cm</w:t>
            </w:r>
            <w:r/>
          </w:p>
        </w:tc>
        <w:tc>
          <w:tcPr>
            <w:gridSpan w:val="2"/>
            <w:shd w:val="clear" w:color="000000" w:fill="ffffff"/>
            <w:tcBorders>
              <w:top w:val="none" w:color="000000" w:sz="4" w:space="0"/>
              <w:left w:val="none" w:color="000000" w:sz="4" w:space="0"/>
              <w:bottom w:val="single" w:color="auto" w:sz="4" w:space="0"/>
              <w:right w:val="single" w:color="auto" w:sz="4" w:space="0"/>
            </w:tcBorders>
            <w:tcW w:w="835" w:type="dxa"/>
            <w:vAlign w:val="center"/>
            <w:textDirection w:val="lrTb"/>
            <w:noWrap w:val="false"/>
          </w:tcPr>
          <w:p>
            <w:pPr>
              <w:jc w:val="center"/>
              <w:widowControl/>
              <w:rPr>
                <w:rFonts w:ascii="Times New Roman" w:hAnsi="Times New Roman"/>
                <w:color w:val="auto"/>
                <w:sz w:val="20"/>
                <w:szCs w:val="20"/>
                <w:highlight w:val="none"/>
              </w:rPr>
            </w:pPr>
            <w:r>
              <w:rPr>
                <w:rFonts w:hint="eastAsia" w:ascii="宋体" w:hAnsi="宋体"/>
                <w:color w:val="auto"/>
                <w:sz w:val="20"/>
                <w:szCs w:val="20"/>
                <w:highlight w:val="none"/>
              </w:rPr>
              <w:t xml:space="preserve">套</w:t>
            </w:r>
            <w:r/>
          </w:p>
        </w:tc>
        <w:tc>
          <w:tcPr>
            <w:gridSpan w:val="2"/>
            <w:shd w:val="clear" w:color="000000" w:fill="ffffff"/>
            <w:tcBorders>
              <w:top w:val="none" w:color="000000" w:sz="4" w:space="0"/>
              <w:left w:val="none" w:color="000000" w:sz="4" w:space="0"/>
              <w:bottom w:val="single" w:color="auto" w:sz="4" w:space="0"/>
              <w:right w:val="single" w:color="auto" w:sz="4" w:space="0"/>
            </w:tcBorders>
            <w:tcW w:w="913"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2 </w:t>
            </w:r>
            <w:r/>
          </w:p>
        </w:tc>
        <w:tc>
          <w:tcPr>
            <w:gridSpan w:val="2"/>
            <w:shd w:val="clear" w:color="000000" w:fill="ffffff"/>
            <w:tcBorders>
              <w:top w:val="none" w:color="000000" w:sz="4" w:space="0"/>
              <w:left w:val="none" w:color="000000" w:sz="4" w:space="0"/>
              <w:bottom w:val="single" w:color="auto" w:sz="4" w:space="0"/>
              <w:right w:val="single" w:color="auto" w:sz="4" w:space="0"/>
            </w:tcBorders>
            <w:tcW w:w="944"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gridSpan w:val="3"/>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994"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-c</w:t>
            </w:r>
            <w:r/>
          </w:p>
        </w:tc>
        <w:tc>
          <w:tcPr>
            <w:gridSpan w:val="2"/>
            <w:shd w:val="clear" w:color="000000" w:fill="ffffff"/>
            <w:tcBorders>
              <w:top w:val="none" w:color="000000" w:sz="4" w:space="0"/>
              <w:left w:val="none" w:color="000000" w:sz="4" w:space="0"/>
              <w:bottom w:val="single" w:color="auto" w:sz="4" w:space="0"/>
              <w:right w:val="single" w:color="auto" w:sz="4" w:space="0"/>
            </w:tcBorders>
            <w:tcW w:w="3058"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八边形服务</w:t>
            </w:r>
            <w:r>
              <w:rPr>
                <w:rFonts w:ascii="Times New Roman" w:hAnsi="Times New Roman"/>
                <w:color w:val="auto"/>
                <w:sz w:val="20"/>
                <w:szCs w:val="20"/>
                <w:highlight w:val="none"/>
              </w:rPr>
              <w:t xml:space="preserve">D=0.8m</w:t>
            </w:r>
            <w:r/>
          </w:p>
        </w:tc>
        <w:tc>
          <w:tcPr>
            <w:gridSpan w:val="2"/>
            <w:shd w:val="clear" w:color="000000" w:fill="ffffff"/>
            <w:tcBorders>
              <w:top w:val="none" w:color="000000" w:sz="4" w:space="0"/>
              <w:left w:val="none" w:color="000000" w:sz="4" w:space="0"/>
              <w:bottom w:val="single" w:color="auto" w:sz="4" w:space="0"/>
              <w:right w:val="single" w:color="auto" w:sz="4" w:space="0"/>
            </w:tcBorders>
            <w:tcW w:w="835" w:type="dxa"/>
            <w:vAlign w:val="center"/>
            <w:textDirection w:val="lrTb"/>
            <w:noWrap w:val="false"/>
          </w:tcPr>
          <w:p>
            <w:pPr>
              <w:jc w:val="center"/>
              <w:widowControl/>
              <w:rPr>
                <w:rFonts w:ascii="Times New Roman" w:hAnsi="Times New Roman"/>
                <w:color w:val="auto"/>
                <w:sz w:val="20"/>
                <w:szCs w:val="20"/>
                <w:highlight w:val="none"/>
              </w:rPr>
            </w:pPr>
            <w:r>
              <w:rPr>
                <w:rFonts w:hint="eastAsia" w:ascii="宋体" w:hAnsi="宋体"/>
                <w:color w:val="auto"/>
                <w:sz w:val="20"/>
                <w:szCs w:val="20"/>
                <w:highlight w:val="none"/>
              </w:rPr>
              <w:t xml:space="preserve">套</w:t>
            </w:r>
            <w:r/>
          </w:p>
        </w:tc>
        <w:tc>
          <w:tcPr>
            <w:gridSpan w:val="2"/>
            <w:shd w:val="clear" w:color="000000" w:fill="ffffff"/>
            <w:tcBorders>
              <w:top w:val="none" w:color="000000" w:sz="4" w:space="0"/>
              <w:left w:val="none" w:color="000000" w:sz="4" w:space="0"/>
              <w:bottom w:val="single" w:color="auto" w:sz="4" w:space="0"/>
              <w:right w:val="single" w:color="auto" w:sz="4" w:space="0"/>
            </w:tcBorders>
            <w:tcW w:w="913"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2 </w:t>
            </w:r>
            <w:r/>
          </w:p>
        </w:tc>
        <w:tc>
          <w:tcPr>
            <w:gridSpan w:val="2"/>
            <w:shd w:val="clear" w:color="000000" w:fill="ffffff"/>
            <w:tcBorders>
              <w:top w:val="none" w:color="000000" w:sz="4" w:space="0"/>
              <w:left w:val="none" w:color="000000" w:sz="4" w:space="0"/>
              <w:bottom w:val="single" w:color="auto" w:sz="4" w:space="0"/>
              <w:right w:val="single" w:color="auto" w:sz="4" w:space="0"/>
            </w:tcBorders>
            <w:tcW w:w="944"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gridSpan w:val="3"/>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994"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-d</w:t>
            </w:r>
            <w:r/>
          </w:p>
        </w:tc>
        <w:tc>
          <w:tcPr>
            <w:gridSpan w:val="2"/>
            <w:shd w:val="clear" w:color="000000" w:fill="ffffff"/>
            <w:tcBorders>
              <w:top w:val="none" w:color="000000" w:sz="4" w:space="0"/>
              <w:left w:val="none" w:color="000000" w:sz="4" w:space="0"/>
              <w:bottom w:val="single" w:color="auto" w:sz="4" w:space="0"/>
              <w:right w:val="single" w:color="auto" w:sz="4" w:space="0"/>
            </w:tcBorders>
            <w:tcW w:w="3058"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矩形服务</w:t>
            </w:r>
            <w:r>
              <w:rPr>
                <w:rFonts w:ascii="Times New Roman" w:hAnsi="Times New Roman"/>
                <w:color w:val="auto"/>
                <w:sz w:val="20"/>
                <w:szCs w:val="20"/>
                <w:highlight w:val="none"/>
              </w:rPr>
              <w:t xml:space="preserve">□80×80cm</w:t>
            </w:r>
            <w:r/>
          </w:p>
        </w:tc>
        <w:tc>
          <w:tcPr>
            <w:gridSpan w:val="2"/>
            <w:shd w:val="clear" w:color="000000" w:fill="ffffff"/>
            <w:tcBorders>
              <w:top w:val="none" w:color="000000" w:sz="4" w:space="0"/>
              <w:left w:val="none" w:color="000000" w:sz="4" w:space="0"/>
              <w:bottom w:val="single" w:color="auto" w:sz="4" w:space="0"/>
              <w:right w:val="single" w:color="auto" w:sz="4" w:space="0"/>
            </w:tcBorders>
            <w:tcW w:w="835" w:type="dxa"/>
            <w:vAlign w:val="center"/>
            <w:textDirection w:val="lrTb"/>
            <w:noWrap w:val="false"/>
          </w:tcPr>
          <w:p>
            <w:pPr>
              <w:jc w:val="center"/>
              <w:widowControl/>
              <w:rPr>
                <w:rFonts w:ascii="Times New Roman" w:hAnsi="Times New Roman"/>
                <w:color w:val="auto"/>
                <w:sz w:val="20"/>
                <w:szCs w:val="20"/>
                <w:highlight w:val="none"/>
              </w:rPr>
            </w:pPr>
            <w:r>
              <w:rPr>
                <w:rFonts w:hint="eastAsia" w:ascii="宋体" w:hAnsi="宋体"/>
                <w:color w:val="auto"/>
                <w:sz w:val="20"/>
                <w:szCs w:val="20"/>
                <w:highlight w:val="none"/>
              </w:rPr>
              <w:t xml:space="preserve">套</w:t>
            </w:r>
            <w:r/>
          </w:p>
        </w:tc>
        <w:tc>
          <w:tcPr>
            <w:gridSpan w:val="2"/>
            <w:shd w:val="clear" w:color="000000" w:fill="ffffff"/>
            <w:tcBorders>
              <w:top w:val="none" w:color="000000" w:sz="4" w:space="0"/>
              <w:left w:val="none" w:color="000000" w:sz="4" w:space="0"/>
              <w:bottom w:val="single" w:color="auto" w:sz="4" w:space="0"/>
              <w:right w:val="single" w:color="auto" w:sz="4" w:space="0"/>
            </w:tcBorders>
            <w:tcW w:w="913" w:type="dxa"/>
            <w:vAlign w:val="center"/>
            <w:textDirection w:val="lrTb"/>
            <w:noWrap/>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2 </w:t>
            </w:r>
            <w:r/>
          </w:p>
        </w:tc>
        <w:tc>
          <w:tcPr>
            <w:gridSpan w:val="2"/>
            <w:shd w:val="clear" w:color="000000" w:fill="ffffff"/>
            <w:tcBorders>
              <w:top w:val="none" w:color="000000" w:sz="4" w:space="0"/>
              <w:left w:val="none" w:color="000000" w:sz="4" w:space="0"/>
              <w:bottom w:val="single" w:color="auto" w:sz="4" w:space="0"/>
              <w:right w:val="single" w:color="auto" w:sz="4" w:space="0"/>
            </w:tcBorders>
            <w:tcW w:w="944"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gridSpan w:val="3"/>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994"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-e</w:t>
            </w:r>
            <w:r/>
          </w:p>
        </w:tc>
        <w:tc>
          <w:tcPr>
            <w:gridSpan w:val="2"/>
            <w:shd w:val="clear" w:color="000000" w:fill="ffffff"/>
            <w:tcBorders>
              <w:top w:val="none" w:color="000000" w:sz="4" w:space="0"/>
              <w:left w:val="none" w:color="000000" w:sz="4" w:space="0"/>
              <w:bottom w:val="single" w:color="auto" w:sz="4" w:space="0"/>
              <w:right w:val="single" w:color="auto" w:sz="4" w:space="0"/>
            </w:tcBorders>
            <w:tcW w:w="3058"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矩形服务</w:t>
            </w:r>
            <w:r>
              <w:rPr>
                <w:rFonts w:ascii="Times New Roman" w:hAnsi="Times New Roman"/>
                <w:color w:val="auto"/>
                <w:sz w:val="20"/>
                <w:szCs w:val="20"/>
                <w:highlight w:val="none"/>
              </w:rPr>
              <w:t xml:space="preserve">□100×100cm</w:t>
            </w:r>
            <w:r/>
          </w:p>
        </w:tc>
        <w:tc>
          <w:tcPr>
            <w:gridSpan w:val="2"/>
            <w:shd w:val="clear" w:color="000000" w:fill="ffffff"/>
            <w:tcBorders>
              <w:top w:val="none" w:color="000000" w:sz="4" w:space="0"/>
              <w:left w:val="none" w:color="000000" w:sz="4" w:space="0"/>
              <w:bottom w:val="single" w:color="auto" w:sz="4" w:space="0"/>
              <w:right w:val="single" w:color="auto" w:sz="4" w:space="0"/>
            </w:tcBorders>
            <w:tcW w:w="835" w:type="dxa"/>
            <w:vAlign w:val="center"/>
            <w:textDirection w:val="lrTb"/>
            <w:noWrap w:val="false"/>
          </w:tcPr>
          <w:p>
            <w:pPr>
              <w:jc w:val="center"/>
              <w:widowControl/>
              <w:rPr>
                <w:rFonts w:ascii="Times New Roman" w:hAnsi="Times New Roman"/>
                <w:color w:val="auto"/>
                <w:sz w:val="20"/>
                <w:szCs w:val="20"/>
                <w:highlight w:val="none"/>
              </w:rPr>
            </w:pPr>
            <w:r>
              <w:rPr>
                <w:rFonts w:hint="eastAsia" w:ascii="宋体" w:hAnsi="宋体"/>
                <w:color w:val="auto"/>
                <w:sz w:val="20"/>
                <w:szCs w:val="20"/>
                <w:highlight w:val="none"/>
              </w:rPr>
              <w:t xml:space="preserve">套</w:t>
            </w:r>
            <w:r/>
          </w:p>
        </w:tc>
        <w:tc>
          <w:tcPr>
            <w:gridSpan w:val="2"/>
            <w:shd w:val="clear" w:color="000000" w:fill="ffffff"/>
            <w:tcBorders>
              <w:top w:val="none" w:color="000000" w:sz="4" w:space="0"/>
              <w:left w:val="none" w:color="000000" w:sz="4" w:space="0"/>
              <w:bottom w:val="single" w:color="auto" w:sz="4" w:space="0"/>
              <w:right w:val="single" w:color="auto" w:sz="4" w:space="0"/>
            </w:tcBorders>
            <w:tcW w:w="913"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2 </w:t>
            </w:r>
            <w:r/>
          </w:p>
        </w:tc>
        <w:tc>
          <w:tcPr>
            <w:gridSpan w:val="2"/>
            <w:shd w:val="clear" w:color="000000" w:fill="ffffff"/>
            <w:tcBorders>
              <w:top w:val="none" w:color="000000" w:sz="4" w:space="0"/>
              <w:left w:val="none" w:color="000000" w:sz="4" w:space="0"/>
              <w:bottom w:val="single" w:color="auto" w:sz="4" w:space="0"/>
              <w:right w:val="single" w:color="auto" w:sz="4" w:space="0"/>
            </w:tcBorders>
            <w:tcW w:w="944"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gridSpan w:val="3"/>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994"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-f</w:t>
            </w:r>
            <w:r/>
          </w:p>
        </w:tc>
        <w:tc>
          <w:tcPr>
            <w:gridSpan w:val="2"/>
            <w:shd w:val="clear" w:color="000000" w:fill="ffffff"/>
            <w:tcBorders>
              <w:top w:val="none" w:color="000000" w:sz="4" w:space="0"/>
              <w:left w:val="none" w:color="000000" w:sz="4" w:space="0"/>
              <w:bottom w:val="single" w:color="auto" w:sz="4" w:space="0"/>
              <w:right w:val="single" w:color="auto" w:sz="4" w:space="0"/>
            </w:tcBorders>
            <w:tcW w:w="3058"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矩形服务</w:t>
            </w:r>
            <w:r>
              <w:rPr>
                <w:rFonts w:ascii="Times New Roman" w:hAnsi="Times New Roman"/>
                <w:color w:val="auto"/>
                <w:sz w:val="20"/>
                <w:szCs w:val="20"/>
                <w:highlight w:val="none"/>
              </w:rPr>
              <w:t xml:space="preserve">□100×150cm</w:t>
            </w:r>
            <w:r/>
          </w:p>
        </w:tc>
        <w:tc>
          <w:tcPr>
            <w:gridSpan w:val="2"/>
            <w:shd w:val="clear" w:color="000000" w:fill="ffffff"/>
            <w:tcBorders>
              <w:top w:val="none" w:color="000000" w:sz="4" w:space="0"/>
              <w:left w:val="none" w:color="000000" w:sz="4" w:space="0"/>
              <w:bottom w:val="single" w:color="auto" w:sz="4" w:space="0"/>
              <w:right w:val="single" w:color="auto" w:sz="4" w:space="0"/>
            </w:tcBorders>
            <w:tcW w:w="835" w:type="dxa"/>
            <w:vAlign w:val="center"/>
            <w:textDirection w:val="lrTb"/>
            <w:noWrap w:val="false"/>
          </w:tcPr>
          <w:p>
            <w:pPr>
              <w:jc w:val="center"/>
              <w:widowControl/>
              <w:rPr>
                <w:rFonts w:ascii="Times New Roman" w:hAnsi="Times New Roman"/>
                <w:color w:val="auto"/>
                <w:sz w:val="20"/>
                <w:szCs w:val="20"/>
                <w:highlight w:val="none"/>
              </w:rPr>
            </w:pPr>
            <w:r>
              <w:rPr>
                <w:rFonts w:hint="eastAsia" w:ascii="宋体" w:hAnsi="宋体"/>
                <w:color w:val="auto"/>
                <w:sz w:val="20"/>
                <w:szCs w:val="20"/>
                <w:highlight w:val="none"/>
              </w:rPr>
              <w:t xml:space="preserve">套</w:t>
            </w:r>
            <w:r/>
          </w:p>
        </w:tc>
        <w:tc>
          <w:tcPr>
            <w:gridSpan w:val="2"/>
            <w:shd w:val="clear" w:color="000000" w:fill="ffffff"/>
            <w:tcBorders>
              <w:top w:val="none" w:color="000000" w:sz="4" w:space="0"/>
              <w:left w:val="none" w:color="000000" w:sz="4" w:space="0"/>
              <w:bottom w:val="single" w:color="auto" w:sz="4" w:space="0"/>
              <w:right w:val="single" w:color="auto" w:sz="4" w:space="0"/>
            </w:tcBorders>
            <w:tcW w:w="913"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2 </w:t>
            </w:r>
            <w:r/>
          </w:p>
        </w:tc>
        <w:tc>
          <w:tcPr>
            <w:gridSpan w:val="2"/>
            <w:shd w:val="clear" w:color="000000" w:fill="ffffff"/>
            <w:tcBorders>
              <w:top w:val="none" w:color="000000" w:sz="4" w:space="0"/>
              <w:left w:val="none" w:color="000000" w:sz="4" w:space="0"/>
              <w:bottom w:val="single" w:color="auto" w:sz="4" w:space="0"/>
              <w:right w:val="single" w:color="auto" w:sz="4" w:space="0"/>
            </w:tcBorders>
            <w:tcW w:w="944"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gridSpan w:val="3"/>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994"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-g</w:t>
            </w:r>
            <w:r/>
          </w:p>
        </w:tc>
        <w:tc>
          <w:tcPr>
            <w:gridSpan w:val="2"/>
            <w:shd w:val="clear" w:color="000000" w:fill="ffffff"/>
            <w:tcBorders>
              <w:top w:val="none" w:color="000000" w:sz="4" w:space="0"/>
              <w:left w:val="none" w:color="000000" w:sz="4" w:space="0"/>
              <w:bottom w:val="single" w:color="auto" w:sz="4" w:space="0"/>
              <w:right w:val="single" w:color="auto" w:sz="4" w:space="0"/>
            </w:tcBorders>
            <w:tcW w:w="3058"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单柱式标志牌拆除服务</w:t>
            </w:r>
            <w:r/>
          </w:p>
        </w:tc>
        <w:tc>
          <w:tcPr>
            <w:gridSpan w:val="2"/>
            <w:shd w:val="clear" w:color="000000" w:fill="ffffff"/>
            <w:tcBorders>
              <w:top w:val="none" w:color="000000" w:sz="4" w:space="0"/>
              <w:left w:val="none" w:color="000000" w:sz="4" w:space="0"/>
              <w:bottom w:val="single" w:color="auto" w:sz="4" w:space="0"/>
              <w:right w:val="single" w:color="auto" w:sz="4" w:space="0"/>
            </w:tcBorders>
            <w:tcW w:w="835" w:type="dxa"/>
            <w:vAlign w:val="center"/>
            <w:textDirection w:val="lrTb"/>
            <w:noWrap w:val="false"/>
          </w:tcPr>
          <w:p>
            <w:pPr>
              <w:jc w:val="center"/>
              <w:widowControl/>
              <w:rPr>
                <w:rFonts w:ascii="Times New Roman" w:hAnsi="Times New Roman"/>
                <w:color w:val="auto"/>
                <w:sz w:val="20"/>
                <w:szCs w:val="20"/>
                <w:highlight w:val="none"/>
              </w:rPr>
            </w:pPr>
            <w:r>
              <w:rPr>
                <w:rFonts w:hint="eastAsia" w:ascii="宋体" w:hAnsi="宋体"/>
                <w:color w:val="auto"/>
                <w:sz w:val="20"/>
                <w:szCs w:val="20"/>
                <w:highlight w:val="none"/>
              </w:rPr>
              <w:t xml:space="preserve">套</w:t>
            </w:r>
            <w:r/>
          </w:p>
        </w:tc>
        <w:tc>
          <w:tcPr>
            <w:gridSpan w:val="2"/>
            <w:shd w:val="clear" w:color="000000" w:fill="ffffff"/>
            <w:tcBorders>
              <w:top w:val="none" w:color="000000" w:sz="4" w:space="0"/>
              <w:left w:val="none" w:color="000000" w:sz="4" w:space="0"/>
              <w:bottom w:val="single" w:color="auto" w:sz="4" w:space="0"/>
              <w:right w:val="single" w:color="auto" w:sz="4" w:space="0"/>
            </w:tcBorders>
            <w:tcW w:w="913"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2 </w:t>
            </w:r>
            <w:r/>
          </w:p>
        </w:tc>
        <w:tc>
          <w:tcPr>
            <w:gridSpan w:val="2"/>
            <w:shd w:val="clear" w:color="000000" w:fill="ffffff"/>
            <w:tcBorders>
              <w:top w:val="none" w:color="000000" w:sz="4" w:space="0"/>
              <w:left w:val="none" w:color="000000" w:sz="4" w:space="0"/>
              <w:bottom w:val="single" w:color="auto" w:sz="4" w:space="0"/>
              <w:right w:val="single" w:color="auto" w:sz="4" w:space="0"/>
            </w:tcBorders>
            <w:tcW w:w="944"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gridSpan w:val="3"/>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994"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-h</w:t>
            </w:r>
            <w:r/>
          </w:p>
        </w:tc>
        <w:tc>
          <w:tcPr>
            <w:gridSpan w:val="2"/>
            <w:shd w:val="clear" w:color="000000" w:fill="ffffff"/>
            <w:tcBorders>
              <w:top w:val="none" w:color="000000" w:sz="4" w:space="0"/>
              <w:left w:val="none" w:color="000000" w:sz="4" w:space="0"/>
              <w:bottom w:val="single" w:color="auto" w:sz="4" w:space="0"/>
              <w:right w:val="single" w:color="auto" w:sz="4" w:space="0"/>
            </w:tcBorders>
            <w:tcW w:w="3058"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单柱式标志牌改移服务</w:t>
            </w:r>
            <w:r/>
          </w:p>
        </w:tc>
        <w:tc>
          <w:tcPr>
            <w:gridSpan w:val="2"/>
            <w:shd w:val="clear" w:color="000000" w:fill="ffffff"/>
            <w:tcBorders>
              <w:top w:val="none" w:color="000000" w:sz="4" w:space="0"/>
              <w:left w:val="none" w:color="000000" w:sz="4" w:space="0"/>
              <w:bottom w:val="single" w:color="auto" w:sz="4" w:space="0"/>
              <w:right w:val="single" w:color="auto" w:sz="4" w:space="0"/>
            </w:tcBorders>
            <w:tcW w:w="835" w:type="dxa"/>
            <w:vAlign w:val="center"/>
            <w:textDirection w:val="lrTb"/>
            <w:noWrap w:val="false"/>
          </w:tcPr>
          <w:p>
            <w:pPr>
              <w:jc w:val="center"/>
              <w:widowControl/>
              <w:rPr>
                <w:rFonts w:ascii="Times New Roman" w:hAnsi="Times New Roman"/>
                <w:color w:val="auto"/>
                <w:sz w:val="20"/>
                <w:szCs w:val="20"/>
                <w:highlight w:val="none"/>
              </w:rPr>
            </w:pPr>
            <w:r>
              <w:rPr>
                <w:rFonts w:hint="eastAsia" w:ascii="宋体" w:hAnsi="宋体"/>
                <w:color w:val="auto"/>
                <w:sz w:val="20"/>
                <w:szCs w:val="20"/>
                <w:highlight w:val="none"/>
              </w:rPr>
              <w:t xml:space="preserve">套</w:t>
            </w:r>
            <w:r/>
          </w:p>
        </w:tc>
        <w:tc>
          <w:tcPr>
            <w:gridSpan w:val="2"/>
            <w:shd w:val="clear" w:color="000000" w:fill="ffffff"/>
            <w:tcBorders>
              <w:top w:val="none" w:color="000000" w:sz="4" w:space="0"/>
              <w:left w:val="none" w:color="000000" w:sz="4" w:space="0"/>
              <w:bottom w:val="single" w:color="auto" w:sz="4" w:space="0"/>
              <w:right w:val="single" w:color="auto" w:sz="4" w:space="0"/>
            </w:tcBorders>
            <w:tcW w:w="913"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2 </w:t>
            </w:r>
            <w:r/>
          </w:p>
        </w:tc>
        <w:tc>
          <w:tcPr>
            <w:gridSpan w:val="2"/>
            <w:shd w:val="clear" w:color="000000" w:fill="ffffff"/>
            <w:tcBorders>
              <w:top w:val="none" w:color="000000" w:sz="4" w:space="0"/>
              <w:left w:val="none" w:color="000000" w:sz="4" w:space="0"/>
              <w:bottom w:val="single" w:color="auto" w:sz="4" w:space="0"/>
              <w:right w:val="single" w:color="auto" w:sz="4" w:space="0"/>
            </w:tcBorders>
            <w:tcW w:w="944"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gridSpan w:val="3"/>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tcBorders>
              <w:top w:val="none" w:color="000000" w:sz="4" w:space="0"/>
              <w:left w:val="single" w:color="auto" w:sz="4" w:space="0"/>
              <w:bottom w:val="single" w:color="auto" w:sz="4" w:space="0"/>
              <w:right w:val="single" w:color="auto" w:sz="4" w:space="0"/>
            </w:tcBorders>
            <w:tcW w:w="994"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-03</w:t>
            </w:r>
            <w:r/>
          </w:p>
        </w:tc>
        <w:tc>
          <w:tcPr>
            <w:gridSpan w:val="2"/>
            <w:shd w:val="clear" w:color="000000" w:fill="ffffff"/>
            <w:tcBorders>
              <w:top w:val="none" w:color="000000" w:sz="4" w:space="0"/>
              <w:left w:val="none" w:color="000000" w:sz="4" w:space="0"/>
              <w:bottom w:val="single" w:color="auto" w:sz="4" w:space="0"/>
              <w:right w:val="single" w:color="auto" w:sz="4" w:space="0"/>
            </w:tcBorders>
            <w:tcW w:w="3058"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悬臂交通标志服务</w:t>
            </w:r>
            <w:r/>
          </w:p>
        </w:tc>
        <w:tc>
          <w:tcPr>
            <w:gridSpan w:val="2"/>
            <w:shd w:val="clear" w:color="000000" w:fill="ffffff"/>
            <w:tcBorders>
              <w:top w:val="none" w:color="000000" w:sz="4" w:space="0"/>
              <w:left w:val="none" w:color="000000" w:sz="4" w:space="0"/>
              <w:bottom w:val="single" w:color="auto" w:sz="4" w:space="0"/>
              <w:right w:val="single" w:color="auto" w:sz="4" w:space="0"/>
            </w:tcBorders>
            <w:tcW w:w="835"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913"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944"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gridSpan w:val="3"/>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994"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-a</w:t>
            </w:r>
            <w:r/>
          </w:p>
        </w:tc>
        <w:tc>
          <w:tcPr>
            <w:gridSpan w:val="2"/>
            <w:shd w:val="clear" w:color="000000" w:fill="ffffff"/>
            <w:tcBorders>
              <w:top w:val="none" w:color="000000" w:sz="4" w:space="0"/>
              <w:left w:val="none" w:color="000000" w:sz="4" w:space="0"/>
              <w:bottom w:val="single" w:color="auto" w:sz="4" w:space="0"/>
              <w:right w:val="single" w:color="auto" w:sz="4" w:space="0"/>
            </w:tcBorders>
            <w:tcW w:w="3058"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悬臂式标志、标牌拆除服务</w:t>
            </w:r>
            <w:r/>
          </w:p>
        </w:tc>
        <w:tc>
          <w:tcPr>
            <w:gridSpan w:val="2"/>
            <w:shd w:val="clear" w:color="000000" w:fill="ffffff"/>
            <w:tcBorders>
              <w:top w:val="none" w:color="000000" w:sz="4" w:space="0"/>
              <w:left w:val="none" w:color="000000" w:sz="4" w:space="0"/>
              <w:bottom w:val="single" w:color="auto" w:sz="4" w:space="0"/>
              <w:right w:val="single" w:color="auto" w:sz="4" w:space="0"/>
            </w:tcBorders>
            <w:tcW w:w="835" w:type="dxa"/>
            <w:vAlign w:val="center"/>
            <w:textDirection w:val="lrTb"/>
            <w:noWrap w:val="false"/>
          </w:tcPr>
          <w:p>
            <w:pPr>
              <w:jc w:val="center"/>
              <w:widowControl/>
              <w:rPr>
                <w:rFonts w:ascii="Times New Roman" w:hAnsi="Times New Roman"/>
                <w:color w:val="auto"/>
                <w:sz w:val="20"/>
                <w:szCs w:val="20"/>
                <w:highlight w:val="none"/>
              </w:rPr>
            </w:pPr>
            <w:r>
              <w:rPr>
                <w:rFonts w:hint="eastAsia" w:ascii="宋体" w:hAnsi="宋体"/>
                <w:color w:val="auto"/>
                <w:sz w:val="20"/>
                <w:szCs w:val="20"/>
                <w:highlight w:val="none"/>
              </w:rPr>
              <w:t xml:space="preserve">套</w:t>
            </w:r>
            <w:r/>
          </w:p>
        </w:tc>
        <w:tc>
          <w:tcPr>
            <w:gridSpan w:val="2"/>
            <w:shd w:val="clear" w:color="000000" w:fill="ffffff"/>
            <w:tcBorders>
              <w:top w:val="none" w:color="000000" w:sz="4" w:space="0"/>
              <w:left w:val="none" w:color="000000" w:sz="4" w:space="0"/>
              <w:bottom w:val="single" w:color="auto" w:sz="4" w:space="0"/>
              <w:right w:val="single" w:color="auto" w:sz="4" w:space="0"/>
            </w:tcBorders>
            <w:tcW w:w="913"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2 </w:t>
            </w:r>
            <w:r/>
          </w:p>
        </w:tc>
        <w:tc>
          <w:tcPr>
            <w:gridSpan w:val="2"/>
            <w:shd w:val="clear" w:color="000000" w:fill="ffffff"/>
            <w:tcBorders>
              <w:top w:val="none" w:color="000000" w:sz="4" w:space="0"/>
              <w:left w:val="none" w:color="000000" w:sz="4" w:space="0"/>
              <w:bottom w:val="single" w:color="auto" w:sz="4" w:space="0"/>
              <w:right w:val="single" w:color="auto" w:sz="4" w:space="0"/>
            </w:tcBorders>
            <w:tcW w:w="944"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gridSpan w:val="3"/>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994"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-b</w:t>
            </w:r>
            <w:r/>
          </w:p>
        </w:tc>
        <w:tc>
          <w:tcPr>
            <w:gridSpan w:val="2"/>
            <w:shd w:val="clear" w:color="000000" w:fill="ffffff"/>
            <w:tcBorders>
              <w:top w:val="none" w:color="000000" w:sz="4" w:space="0"/>
              <w:left w:val="none" w:color="000000" w:sz="4" w:space="0"/>
              <w:bottom w:val="single" w:color="auto" w:sz="4" w:space="0"/>
              <w:right w:val="single" w:color="auto" w:sz="4" w:space="0"/>
            </w:tcBorders>
            <w:tcW w:w="3058" w:type="dxa"/>
            <w:vAlign w:val="center"/>
            <w:textDirection w:val="lrTb"/>
            <w:noWrap w:val="false"/>
          </w:tcPr>
          <w:p>
            <w:pPr>
              <w:jc w:val="lef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F</w:t>
            </w:r>
            <w:r>
              <w:rPr>
                <w:rFonts w:hint="eastAsia" w:ascii="宋体" w:hAnsi="宋体"/>
                <w:color w:val="auto"/>
                <w:sz w:val="20"/>
                <w:szCs w:val="20"/>
                <w:highlight w:val="none"/>
              </w:rPr>
              <w:t xml:space="preserve">型单悬臂式标志标牌立柱更换服务</w:t>
            </w:r>
            <w:r/>
          </w:p>
        </w:tc>
        <w:tc>
          <w:tcPr>
            <w:gridSpan w:val="2"/>
            <w:shd w:val="clear" w:color="000000" w:fill="ffffff"/>
            <w:tcBorders>
              <w:top w:val="none" w:color="000000" w:sz="4" w:space="0"/>
              <w:left w:val="none" w:color="000000" w:sz="4" w:space="0"/>
              <w:bottom w:val="single" w:color="auto" w:sz="4" w:space="0"/>
              <w:right w:val="single" w:color="auto" w:sz="4" w:space="0"/>
            </w:tcBorders>
            <w:tcW w:w="835" w:type="dxa"/>
            <w:vAlign w:val="center"/>
            <w:textDirection w:val="lrTb"/>
            <w:noWrap w:val="false"/>
          </w:tcPr>
          <w:p>
            <w:pPr>
              <w:jc w:val="center"/>
              <w:widowControl/>
              <w:rPr>
                <w:rFonts w:ascii="Times New Roman" w:hAnsi="Times New Roman"/>
                <w:color w:val="auto"/>
                <w:sz w:val="20"/>
                <w:szCs w:val="20"/>
                <w:highlight w:val="none"/>
              </w:rPr>
            </w:pPr>
            <w:r>
              <w:rPr>
                <w:rFonts w:hint="eastAsia" w:ascii="宋体" w:hAnsi="宋体"/>
                <w:color w:val="auto"/>
                <w:sz w:val="20"/>
                <w:szCs w:val="20"/>
                <w:highlight w:val="none"/>
              </w:rPr>
              <w:t xml:space="preserve">套</w:t>
            </w:r>
            <w:r/>
          </w:p>
        </w:tc>
        <w:tc>
          <w:tcPr>
            <w:gridSpan w:val="2"/>
            <w:shd w:val="clear" w:color="000000" w:fill="ffffff"/>
            <w:tcBorders>
              <w:top w:val="none" w:color="000000" w:sz="4" w:space="0"/>
              <w:left w:val="none" w:color="000000" w:sz="4" w:space="0"/>
              <w:bottom w:val="single" w:color="auto" w:sz="4" w:space="0"/>
              <w:right w:val="single" w:color="auto" w:sz="4" w:space="0"/>
            </w:tcBorders>
            <w:tcW w:w="913"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2 </w:t>
            </w:r>
            <w:r/>
          </w:p>
        </w:tc>
        <w:tc>
          <w:tcPr>
            <w:gridSpan w:val="2"/>
            <w:shd w:val="clear" w:color="000000" w:fill="ffffff"/>
            <w:tcBorders>
              <w:top w:val="none" w:color="000000" w:sz="4" w:space="0"/>
              <w:left w:val="none" w:color="000000" w:sz="4" w:space="0"/>
              <w:bottom w:val="single" w:color="auto" w:sz="4" w:space="0"/>
              <w:right w:val="single" w:color="auto" w:sz="4" w:space="0"/>
            </w:tcBorders>
            <w:tcW w:w="944"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gridSpan w:val="3"/>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994"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-c</w:t>
            </w:r>
            <w:r/>
          </w:p>
        </w:tc>
        <w:tc>
          <w:tcPr>
            <w:gridSpan w:val="2"/>
            <w:shd w:val="clear" w:color="000000" w:fill="ffffff"/>
            <w:tcBorders>
              <w:top w:val="none" w:color="000000" w:sz="4" w:space="0"/>
              <w:left w:val="none" w:color="000000" w:sz="4" w:space="0"/>
              <w:bottom w:val="single" w:color="auto" w:sz="4" w:space="0"/>
              <w:right w:val="single" w:color="auto" w:sz="4" w:space="0"/>
            </w:tcBorders>
            <w:tcW w:w="3058" w:type="dxa"/>
            <w:vAlign w:val="center"/>
            <w:textDirection w:val="lrTb"/>
            <w:noWrap w:val="false"/>
          </w:tcPr>
          <w:p>
            <w:pPr>
              <w:jc w:val="lef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F</w:t>
            </w:r>
            <w:r>
              <w:rPr>
                <w:rFonts w:hint="eastAsia" w:ascii="宋体" w:hAnsi="宋体"/>
                <w:color w:val="auto"/>
                <w:sz w:val="20"/>
                <w:szCs w:val="20"/>
                <w:highlight w:val="none"/>
              </w:rPr>
              <w:t xml:space="preserve">型双悬臂式标志标牌立柱更换服务</w:t>
            </w:r>
            <w:r/>
          </w:p>
        </w:tc>
        <w:tc>
          <w:tcPr>
            <w:gridSpan w:val="2"/>
            <w:shd w:val="clear" w:color="000000" w:fill="ffffff"/>
            <w:tcBorders>
              <w:top w:val="none" w:color="000000" w:sz="4" w:space="0"/>
              <w:left w:val="none" w:color="000000" w:sz="4" w:space="0"/>
              <w:bottom w:val="single" w:color="auto" w:sz="4" w:space="0"/>
              <w:right w:val="single" w:color="auto" w:sz="4" w:space="0"/>
            </w:tcBorders>
            <w:tcW w:w="835" w:type="dxa"/>
            <w:vAlign w:val="center"/>
            <w:textDirection w:val="lrTb"/>
            <w:noWrap w:val="false"/>
          </w:tcPr>
          <w:p>
            <w:pPr>
              <w:jc w:val="center"/>
              <w:widowControl/>
              <w:rPr>
                <w:rFonts w:ascii="Times New Roman" w:hAnsi="Times New Roman"/>
                <w:color w:val="auto"/>
                <w:sz w:val="20"/>
                <w:szCs w:val="20"/>
                <w:highlight w:val="none"/>
              </w:rPr>
            </w:pPr>
            <w:r>
              <w:rPr>
                <w:rFonts w:hint="eastAsia" w:ascii="宋体" w:hAnsi="宋体"/>
                <w:color w:val="auto"/>
                <w:sz w:val="20"/>
                <w:szCs w:val="20"/>
                <w:highlight w:val="none"/>
              </w:rPr>
              <w:t xml:space="preserve">套</w:t>
            </w:r>
            <w:r/>
          </w:p>
        </w:tc>
        <w:tc>
          <w:tcPr>
            <w:gridSpan w:val="2"/>
            <w:shd w:val="clear" w:color="000000" w:fill="ffffff"/>
            <w:tcBorders>
              <w:top w:val="none" w:color="000000" w:sz="4" w:space="0"/>
              <w:left w:val="none" w:color="000000" w:sz="4" w:space="0"/>
              <w:bottom w:val="single" w:color="auto" w:sz="4" w:space="0"/>
              <w:right w:val="single" w:color="auto" w:sz="4" w:space="0"/>
            </w:tcBorders>
            <w:tcW w:w="913"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2 </w:t>
            </w:r>
            <w:r/>
          </w:p>
        </w:tc>
        <w:tc>
          <w:tcPr>
            <w:gridSpan w:val="2"/>
            <w:shd w:val="clear" w:color="000000" w:fill="ffffff"/>
            <w:tcBorders>
              <w:top w:val="none" w:color="000000" w:sz="4" w:space="0"/>
              <w:left w:val="none" w:color="000000" w:sz="4" w:space="0"/>
              <w:bottom w:val="single" w:color="auto" w:sz="4" w:space="0"/>
              <w:right w:val="single" w:color="auto" w:sz="4" w:space="0"/>
            </w:tcBorders>
            <w:tcW w:w="944"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gridSpan w:val="3"/>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tcBorders>
              <w:top w:val="none" w:color="000000" w:sz="4" w:space="0"/>
              <w:left w:val="single" w:color="auto" w:sz="4" w:space="0"/>
              <w:bottom w:val="single" w:color="auto" w:sz="4" w:space="0"/>
              <w:right w:val="single" w:color="auto" w:sz="4" w:space="0"/>
            </w:tcBorders>
            <w:tcW w:w="994" w:type="dxa"/>
            <w:vAlign w:val="center"/>
            <w:textDirection w:val="lrTb"/>
            <w:noWrap/>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-04</w:t>
            </w:r>
            <w:r/>
          </w:p>
        </w:tc>
        <w:tc>
          <w:tcPr>
            <w:gridSpan w:val="2"/>
            <w:shd w:val="clear" w:color="000000" w:fill="ffffff"/>
            <w:tcBorders>
              <w:top w:val="none" w:color="000000" w:sz="4" w:space="0"/>
              <w:left w:val="none" w:color="000000" w:sz="4" w:space="0"/>
              <w:bottom w:val="single" w:color="auto" w:sz="4" w:space="0"/>
              <w:right w:val="single" w:color="auto" w:sz="4" w:space="0"/>
            </w:tcBorders>
            <w:tcW w:w="3058"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路面标志、标线服务</w:t>
            </w:r>
            <w:r/>
          </w:p>
        </w:tc>
        <w:tc>
          <w:tcPr>
            <w:gridSpan w:val="2"/>
            <w:shd w:val="clear" w:color="000000" w:fill="ffffff"/>
            <w:tcBorders>
              <w:top w:val="none" w:color="000000" w:sz="4" w:space="0"/>
              <w:left w:val="none" w:color="000000" w:sz="4" w:space="0"/>
              <w:bottom w:val="single" w:color="auto" w:sz="4" w:space="0"/>
              <w:right w:val="single" w:color="auto" w:sz="4" w:space="0"/>
            </w:tcBorders>
            <w:tcW w:w="835"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913"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944"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gridSpan w:val="3"/>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994"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-a</w:t>
            </w:r>
            <w:r/>
          </w:p>
        </w:tc>
        <w:tc>
          <w:tcPr>
            <w:gridSpan w:val="2"/>
            <w:shd w:val="clear" w:color="000000" w:fill="ffffff"/>
            <w:tcBorders>
              <w:top w:val="none" w:color="000000" w:sz="4" w:space="0"/>
              <w:left w:val="none" w:color="000000" w:sz="4" w:space="0"/>
              <w:bottom w:val="single" w:color="auto" w:sz="4" w:space="0"/>
              <w:right w:val="single" w:color="auto" w:sz="4" w:space="0"/>
            </w:tcBorders>
            <w:tcW w:w="3058" w:type="dxa"/>
            <w:vAlign w:val="center"/>
            <w:textDirection w:val="lrTb"/>
            <w:noWrap/>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热熔涂料标志、标线服务</w:t>
            </w:r>
            <w:r/>
          </w:p>
        </w:tc>
        <w:tc>
          <w:tcPr>
            <w:gridSpan w:val="2"/>
            <w:shd w:val="clear" w:color="000000" w:fill="ffffff"/>
            <w:tcBorders>
              <w:top w:val="none" w:color="000000" w:sz="4" w:space="0"/>
              <w:left w:val="none" w:color="000000" w:sz="4" w:space="0"/>
              <w:bottom w:val="single" w:color="auto" w:sz="4" w:space="0"/>
              <w:right w:val="single" w:color="auto" w:sz="4" w:space="0"/>
            </w:tcBorders>
            <w:tcW w:w="835" w:type="dxa"/>
            <w:vAlign w:val="center"/>
            <w:textDirection w:val="lrTb"/>
            <w:noWrap/>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m</w:t>
            </w:r>
            <w:r>
              <w:rPr>
                <w:rFonts w:ascii="Times New Roman" w:hAnsi="Times New Roman"/>
                <w:color w:val="auto"/>
                <w:sz w:val="20"/>
                <w:szCs w:val="20"/>
                <w:highlight w:val="none"/>
                <w:vertAlign w:val="superscript"/>
              </w:rPr>
              <w:t xml:space="preserve">2</w:t>
            </w:r>
            <w:r/>
          </w:p>
        </w:tc>
        <w:tc>
          <w:tcPr>
            <w:gridSpan w:val="2"/>
            <w:shd w:val="clear" w:color="000000" w:fill="ffffff"/>
            <w:tcBorders>
              <w:top w:val="none" w:color="000000" w:sz="4" w:space="0"/>
              <w:left w:val="none" w:color="000000" w:sz="4" w:space="0"/>
              <w:bottom w:val="single" w:color="auto" w:sz="4" w:space="0"/>
              <w:right w:val="single" w:color="auto" w:sz="4" w:space="0"/>
            </w:tcBorders>
            <w:tcW w:w="913"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1500.00 </w:t>
            </w:r>
            <w:r/>
          </w:p>
        </w:tc>
        <w:tc>
          <w:tcPr>
            <w:gridSpan w:val="2"/>
            <w:shd w:val="clear" w:color="000000" w:fill="ffffff"/>
            <w:tcBorders>
              <w:top w:val="none" w:color="000000" w:sz="4" w:space="0"/>
              <w:left w:val="none" w:color="000000" w:sz="4" w:space="0"/>
              <w:bottom w:val="single" w:color="auto" w:sz="4" w:space="0"/>
              <w:right w:val="single" w:color="auto" w:sz="4" w:space="0"/>
            </w:tcBorders>
            <w:tcW w:w="944"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gridSpan w:val="3"/>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994" w:type="dxa"/>
            <w:vAlign w:val="center"/>
            <w:textDirection w:val="lrTb"/>
            <w:noWrap w:val="false"/>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-b</w:t>
            </w:r>
            <w:r/>
          </w:p>
        </w:tc>
        <w:tc>
          <w:tcPr>
            <w:gridSpan w:val="2"/>
            <w:shd w:val="clear" w:color="000000" w:fill="ffffff"/>
            <w:tcBorders>
              <w:top w:val="none" w:color="000000" w:sz="4" w:space="0"/>
              <w:left w:val="none" w:color="000000" w:sz="4" w:space="0"/>
              <w:bottom w:val="single" w:color="auto" w:sz="4" w:space="0"/>
              <w:right w:val="single" w:color="auto" w:sz="4" w:space="0"/>
            </w:tcBorders>
            <w:tcW w:w="3058"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高压水除线服务</w:t>
            </w:r>
            <w:r/>
          </w:p>
        </w:tc>
        <w:tc>
          <w:tcPr>
            <w:gridSpan w:val="2"/>
            <w:shd w:val="clear" w:color="000000" w:fill="ffffff"/>
            <w:tcBorders>
              <w:top w:val="none" w:color="000000" w:sz="4" w:space="0"/>
              <w:left w:val="none" w:color="000000" w:sz="4" w:space="0"/>
              <w:bottom w:val="single" w:color="auto" w:sz="4" w:space="0"/>
              <w:right w:val="single" w:color="auto" w:sz="4" w:space="0"/>
            </w:tcBorders>
            <w:tcW w:w="835" w:type="dxa"/>
            <w:vAlign w:val="center"/>
            <w:textDirection w:val="lrTb"/>
            <w:noWrap/>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m</w:t>
            </w:r>
            <w:r>
              <w:rPr>
                <w:rFonts w:ascii="Times New Roman" w:hAnsi="Times New Roman"/>
                <w:color w:val="auto"/>
                <w:sz w:val="20"/>
                <w:szCs w:val="20"/>
                <w:highlight w:val="none"/>
                <w:vertAlign w:val="superscript"/>
              </w:rPr>
              <w:t xml:space="preserve">2</w:t>
            </w:r>
            <w:r/>
          </w:p>
        </w:tc>
        <w:tc>
          <w:tcPr>
            <w:gridSpan w:val="2"/>
            <w:shd w:val="clear" w:color="000000" w:fill="ffffff"/>
            <w:tcBorders>
              <w:top w:val="none" w:color="000000" w:sz="4" w:space="0"/>
              <w:left w:val="none" w:color="000000" w:sz="4" w:space="0"/>
              <w:bottom w:val="single" w:color="auto" w:sz="4" w:space="0"/>
              <w:right w:val="single" w:color="auto" w:sz="4" w:space="0"/>
            </w:tcBorders>
            <w:tcW w:w="913"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1000.00 </w:t>
            </w:r>
            <w:r/>
          </w:p>
        </w:tc>
        <w:tc>
          <w:tcPr>
            <w:gridSpan w:val="2"/>
            <w:shd w:val="clear" w:color="000000" w:fill="ffffff"/>
            <w:tcBorders>
              <w:top w:val="none" w:color="000000" w:sz="4" w:space="0"/>
              <w:left w:val="none" w:color="000000" w:sz="4" w:space="0"/>
              <w:bottom w:val="single" w:color="auto" w:sz="4" w:space="0"/>
              <w:right w:val="single" w:color="auto" w:sz="4" w:space="0"/>
            </w:tcBorders>
            <w:tcW w:w="944"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gridSpan w:val="3"/>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tcBorders>
              <w:top w:val="none" w:color="000000" w:sz="4" w:space="0"/>
              <w:left w:val="single" w:color="auto" w:sz="4" w:space="0"/>
              <w:bottom w:val="single" w:color="auto" w:sz="4" w:space="0"/>
              <w:right w:val="single" w:color="auto" w:sz="4" w:space="0"/>
            </w:tcBorders>
            <w:tcW w:w="994" w:type="dxa"/>
            <w:vAlign w:val="center"/>
            <w:textDirection w:val="lrTb"/>
            <w:noWrap/>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-05</w:t>
            </w:r>
            <w:r/>
          </w:p>
        </w:tc>
        <w:tc>
          <w:tcPr>
            <w:gridSpan w:val="2"/>
            <w:tcBorders>
              <w:top w:val="none" w:color="000000" w:sz="4" w:space="0"/>
              <w:left w:val="none" w:color="000000" w:sz="4" w:space="0"/>
              <w:bottom w:val="single" w:color="auto" w:sz="4" w:space="0"/>
              <w:right w:val="single" w:color="auto" w:sz="4" w:space="0"/>
            </w:tcBorders>
            <w:tcW w:w="3058"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标志牌保洁扶正服务</w:t>
            </w:r>
            <w:r/>
          </w:p>
        </w:tc>
        <w:tc>
          <w:tcPr>
            <w:gridSpan w:val="2"/>
            <w:shd w:val="clear" w:color="000000" w:fill="ffffff"/>
            <w:tcBorders>
              <w:top w:val="none" w:color="000000" w:sz="4" w:space="0"/>
              <w:left w:val="none" w:color="000000" w:sz="4" w:space="0"/>
              <w:bottom w:val="single" w:color="auto" w:sz="4" w:space="0"/>
              <w:right w:val="single" w:color="auto" w:sz="4" w:space="0"/>
            </w:tcBorders>
            <w:tcW w:w="835"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913"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944"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gridSpan w:val="3"/>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tcBorders>
              <w:top w:val="none" w:color="000000" w:sz="4" w:space="0"/>
              <w:left w:val="single" w:color="auto" w:sz="4" w:space="0"/>
              <w:bottom w:val="single" w:color="auto" w:sz="4" w:space="0"/>
              <w:right w:val="single" w:color="auto" w:sz="4" w:space="0"/>
            </w:tcBorders>
            <w:tcW w:w="994" w:type="dxa"/>
            <w:vAlign w:val="center"/>
            <w:textDirection w:val="lrTb"/>
            <w:noWrap/>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-a</w:t>
            </w:r>
            <w:r/>
          </w:p>
        </w:tc>
        <w:tc>
          <w:tcPr>
            <w:gridSpan w:val="2"/>
            <w:tcBorders>
              <w:top w:val="none" w:color="000000" w:sz="4" w:space="0"/>
              <w:left w:val="none" w:color="000000" w:sz="4" w:space="0"/>
              <w:bottom w:val="single" w:color="auto" w:sz="4" w:space="0"/>
              <w:right w:val="single" w:color="auto" w:sz="4" w:space="0"/>
            </w:tcBorders>
            <w:tcW w:w="3058"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标志牌保洁扶正服务</w:t>
            </w:r>
            <w:r/>
          </w:p>
        </w:tc>
        <w:tc>
          <w:tcPr>
            <w:gridSpan w:val="2"/>
            <w:shd w:val="clear" w:color="000000" w:fill="ffffff"/>
            <w:tcBorders>
              <w:top w:val="none" w:color="000000" w:sz="4" w:space="0"/>
              <w:left w:val="none" w:color="000000" w:sz="4" w:space="0"/>
              <w:bottom w:val="single" w:color="auto" w:sz="4" w:space="0"/>
              <w:right w:val="single" w:color="auto" w:sz="4" w:space="0"/>
            </w:tcBorders>
            <w:tcW w:w="835"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块</w:t>
            </w:r>
            <w:r>
              <w:rPr>
                <w:rFonts w:ascii="Times New Roman" w:hAnsi="Times New Roman"/>
                <w:color w:val="auto"/>
                <w:sz w:val="20"/>
                <w:szCs w:val="20"/>
                <w:highlight w:val="none"/>
              </w:rPr>
              <w:t xml:space="preserve">/</w:t>
            </w:r>
            <w:r>
              <w:rPr>
                <w:rFonts w:hint="eastAsia" w:ascii="宋体" w:hAnsi="宋体" w:cs="宋体"/>
                <w:color w:val="auto"/>
                <w:sz w:val="20"/>
                <w:szCs w:val="20"/>
                <w:highlight w:val="none"/>
              </w:rPr>
              <w:t xml:space="preserve">年</w:t>
            </w:r>
            <w:r/>
          </w:p>
        </w:tc>
        <w:tc>
          <w:tcPr>
            <w:gridSpan w:val="2"/>
            <w:shd w:val="clear" w:color="000000" w:fill="ffffff"/>
            <w:tcBorders>
              <w:top w:val="none" w:color="000000" w:sz="4" w:space="0"/>
              <w:left w:val="none" w:color="000000" w:sz="4" w:space="0"/>
              <w:bottom w:val="single" w:color="auto" w:sz="4" w:space="0"/>
              <w:right w:val="single" w:color="auto" w:sz="4" w:space="0"/>
            </w:tcBorders>
            <w:tcW w:w="913"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80.00 </w:t>
            </w:r>
            <w:r/>
          </w:p>
        </w:tc>
        <w:tc>
          <w:tcPr>
            <w:gridSpan w:val="2"/>
            <w:shd w:val="clear" w:color="000000" w:fill="ffffff"/>
            <w:tcBorders>
              <w:top w:val="none" w:color="000000" w:sz="4" w:space="0"/>
              <w:left w:val="none" w:color="000000" w:sz="4" w:space="0"/>
              <w:bottom w:val="single" w:color="auto" w:sz="4" w:space="0"/>
              <w:right w:val="single" w:color="auto" w:sz="4" w:space="0"/>
            </w:tcBorders>
            <w:tcW w:w="944"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gridSpan w:val="3"/>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tcBorders>
              <w:top w:val="none" w:color="000000" w:sz="4" w:space="0"/>
              <w:left w:val="single" w:color="auto" w:sz="4" w:space="0"/>
              <w:bottom w:val="single" w:color="auto" w:sz="4" w:space="0"/>
              <w:right w:val="single" w:color="auto" w:sz="4" w:space="0"/>
            </w:tcBorders>
            <w:tcW w:w="994" w:type="dxa"/>
            <w:vAlign w:val="center"/>
            <w:textDirection w:val="lrTb"/>
            <w:noWrap/>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-06</w:t>
            </w:r>
            <w:r/>
          </w:p>
        </w:tc>
        <w:tc>
          <w:tcPr>
            <w:gridSpan w:val="2"/>
            <w:tcBorders>
              <w:top w:val="none" w:color="000000" w:sz="4" w:space="0"/>
              <w:left w:val="none" w:color="000000" w:sz="4" w:space="0"/>
              <w:bottom w:val="single" w:color="auto" w:sz="4" w:space="0"/>
              <w:right w:val="single" w:color="auto" w:sz="4" w:space="0"/>
            </w:tcBorders>
            <w:tcW w:w="3058"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里程碑（牌）更换服务</w:t>
            </w:r>
            <w:r/>
          </w:p>
        </w:tc>
        <w:tc>
          <w:tcPr>
            <w:gridSpan w:val="2"/>
            <w:shd w:val="clear" w:color="000000" w:fill="ffffff"/>
            <w:tcBorders>
              <w:top w:val="none" w:color="000000" w:sz="4" w:space="0"/>
              <w:left w:val="none" w:color="000000" w:sz="4" w:space="0"/>
              <w:bottom w:val="single" w:color="auto" w:sz="4" w:space="0"/>
              <w:right w:val="single" w:color="auto" w:sz="4" w:space="0"/>
            </w:tcBorders>
            <w:tcW w:w="835"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913"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944"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gridSpan w:val="3"/>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tcBorders>
              <w:top w:val="none" w:color="000000" w:sz="4" w:space="0"/>
              <w:left w:val="single" w:color="auto" w:sz="4" w:space="0"/>
              <w:bottom w:val="single" w:color="auto" w:sz="4" w:space="0"/>
              <w:right w:val="single" w:color="auto" w:sz="4" w:space="0"/>
            </w:tcBorders>
            <w:tcW w:w="994" w:type="dxa"/>
            <w:vAlign w:val="center"/>
            <w:textDirection w:val="lrTb"/>
            <w:noWrap/>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-a</w:t>
            </w:r>
            <w:r/>
          </w:p>
        </w:tc>
        <w:tc>
          <w:tcPr>
            <w:gridSpan w:val="2"/>
            <w:tcBorders>
              <w:top w:val="none" w:color="000000" w:sz="4" w:space="0"/>
              <w:left w:val="none" w:color="000000" w:sz="4" w:space="0"/>
              <w:bottom w:val="single" w:color="auto" w:sz="4" w:space="0"/>
              <w:right w:val="single" w:color="auto" w:sz="4" w:space="0"/>
            </w:tcBorders>
            <w:tcW w:w="3058"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公里牌补缺、更换服务（金属，含单柱）</w:t>
            </w:r>
            <w:r/>
          </w:p>
        </w:tc>
        <w:tc>
          <w:tcPr>
            <w:gridSpan w:val="2"/>
            <w:shd w:val="clear" w:color="000000" w:fill="ffffff"/>
            <w:tcBorders>
              <w:top w:val="none" w:color="000000" w:sz="4" w:space="0"/>
              <w:left w:val="none" w:color="000000" w:sz="4" w:space="0"/>
              <w:bottom w:val="single" w:color="auto" w:sz="4" w:space="0"/>
              <w:right w:val="single" w:color="auto" w:sz="4" w:space="0"/>
            </w:tcBorders>
            <w:tcW w:w="835" w:type="dxa"/>
            <w:vAlign w:val="center"/>
            <w:textDirection w:val="lrTb"/>
            <w:noWrap w:val="false"/>
          </w:tcPr>
          <w:p>
            <w:pPr>
              <w:jc w:val="center"/>
              <w:widowControl/>
              <w:rPr>
                <w:rFonts w:ascii="Times New Roman" w:hAnsi="Times New Roman"/>
                <w:color w:val="auto"/>
                <w:sz w:val="20"/>
                <w:szCs w:val="20"/>
                <w:highlight w:val="none"/>
              </w:rPr>
            </w:pPr>
            <w:r>
              <w:rPr>
                <w:rFonts w:hint="eastAsia" w:ascii="宋体" w:hAnsi="宋体"/>
                <w:color w:val="auto"/>
                <w:sz w:val="20"/>
                <w:szCs w:val="20"/>
                <w:highlight w:val="none"/>
              </w:rPr>
              <w:t xml:space="preserve">块</w:t>
            </w:r>
            <w:r/>
          </w:p>
        </w:tc>
        <w:tc>
          <w:tcPr>
            <w:gridSpan w:val="2"/>
            <w:shd w:val="clear" w:color="000000" w:fill="ffffff"/>
            <w:tcBorders>
              <w:top w:val="none" w:color="000000" w:sz="4" w:space="0"/>
              <w:left w:val="none" w:color="000000" w:sz="4" w:space="0"/>
              <w:bottom w:val="single" w:color="auto" w:sz="4" w:space="0"/>
              <w:right w:val="single" w:color="auto" w:sz="4" w:space="0"/>
            </w:tcBorders>
            <w:tcW w:w="913"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26.00 </w:t>
            </w:r>
            <w:r/>
          </w:p>
        </w:tc>
        <w:tc>
          <w:tcPr>
            <w:gridSpan w:val="2"/>
            <w:shd w:val="clear" w:color="000000" w:fill="ffffff"/>
            <w:tcBorders>
              <w:top w:val="none" w:color="000000" w:sz="4" w:space="0"/>
              <w:left w:val="none" w:color="000000" w:sz="4" w:space="0"/>
              <w:bottom w:val="single" w:color="auto" w:sz="4" w:space="0"/>
              <w:right w:val="single" w:color="auto" w:sz="4" w:space="0"/>
            </w:tcBorders>
            <w:tcW w:w="944"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gridSpan w:val="3"/>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tcBorders>
              <w:top w:val="none" w:color="000000" w:sz="4" w:space="0"/>
              <w:left w:val="single" w:color="auto" w:sz="4" w:space="0"/>
              <w:bottom w:val="single" w:color="auto" w:sz="4" w:space="0"/>
              <w:right w:val="single" w:color="auto" w:sz="4" w:space="0"/>
            </w:tcBorders>
            <w:tcW w:w="994" w:type="dxa"/>
            <w:vAlign w:val="center"/>
            <w:textDirection w:val="lrTb"/>
            <w:noWrap/>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-07</w:t>
            </w:r>
            <w:r/>
          </w:p>
        </w:tc>
        <w:tc>
          <w:tcPr>
            <w:gridSpan w:val="2"/>
            <w:tcBorders>
              <w:top w:val="none" w:color="000000" w:sz="4" w:space="0"/>
              <w:left w:val="none" w:color="000000" w:sz="4" w:space="0"/>
              <w:bottom w:val="single" w:color="auto" w:sz="4" w:space="0"/>
              <w:right w:val="single" w:color="auto" w:sz="4" w:space="0"/>
            </w:tcBorders>
            <w:tcW w:w="3058" w:type="dxa"/>
            <w:vAlign w:val="center"/>
            <w:textDirection w:val="lrTb"/>
            <w:noWrap/>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轮廓标服务</w:t>
            </w:r>
            <w:r/>
          </w:p>
        </w:tc>
        <w:tc>
          <w:tcPr>
            <w:gridSpan w:val="2"/>
            <w:shd w:val="clear" w:color="000000" w:fill="ffffff"/>
            <w:tcBorders>
              <w:top w:val="none" w:color="000000" w:sz="4" w:space="0"/>
              <w:left w:val="none" w:color="000000" w:sz="4" w:space="0"/>
              <w:bottom w:val="single" w:color="auto" w:sz="4" w:space="0"/>
              <w:right w:val="single" w:color="auto" w:sz="4" w:space="0"/>
            </w:tcBorders>
            <w:tcW w:w="835" w:type="dxa"/>
            <w:vAlign w:val="center"/>
            <w:textDirection w:val="lrTb"/>
            <w:noWrap/>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913"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944"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gridSpan w:val="3"/>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tcBorders>
              <w:top w:val="none" w:color="000000" w:sz="4" w:space="0"/>
              <w:left w:val="single" w:color="auto" w:sz="4" w:space="0"/>
              <w:bottom w:val="single" w:color="auto" w:sz="4" w:space="0"/>
              <w:right w:val="single" w:color="auto" w:sz="4" w:space="0"/>
            </w:tcBorders>
            <w:tcW w:w="994" w:type="dxa"/>
            <w:vAlign w:val="center"/>
            <w:textDirection w:val="lrTb"/>
            <w:noWrap/>
          </w:tcPr>
          <w:p>
            <w:pPr>
              <w:jc w:val="righ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-a</w:t>
            </w:r>
            <w:r/>
          </w:p>
        </w:tc>
        <w:tc>
          <w:tcPr>
            <w:gridSpan w:val="2"/>
            <w:tcBorders>
              <w:top w:val="none" w:color="000000" w:sz="4" w:space="0"/>
              <w:left w:val="none" w:color="000000" w:sz="4" w:space="0"/>
              <w:bottom w:val="single" w:color="auto" w:sz="4" w:space="0"/>
              <w:right w:val="single" w:color="auto" w:sz="4" w:space="0"/>
            </w:tcBorders>
            <w:tcW w:w="3058" w:type="dxa"/>
            <w:vAlign w:val="center"/>
            <w:textDirection w:val="lrTb"/>
            <w:noWrap/>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柱式轮廓标服务</w:t>
            </w:r>
            <w:r/>
          </w:p>
        </w:tc>
        <w:tc>
          <w:tcPr>
            <w:gridSpan w:val="2"/>
            <w:shd w:val="clear" w:color="000000" w:fill="ffffff"/>
            <w:tcBorders>
              <w:top w:val="none" w:color="000000" w:sz="4" w:space="0"/>
              <w:left w:val="none" w:color="000000" w:sz="4" w:space="0"/>
              <w:bottom w:val="single" w:color="auto" w:sz="4" w:space="0"/>
              <w:right w:val="single" w:color="auto" w:sz="4" w:space="0"/>
            </w:tcBorders>
            <w:tcW w:w="835" w:type="dxa"/>
            <w:vAlign w:val="center"/>
            <w:textDirection w:val="lrTb"/>
            <w:noWrap/>
          </w:tcPr>
          <w:p>
            <w:pPr>
              <w:jc w:val="center"/>
              <w:widowControl/>
              <w:rPr>
                <w:rFonts w:ascii="Times New Roman" w:hAnsi="Times New Roman"/>
                <w:color w:val="auto"/>
                <w:sz w:val="20"/>
                <w:szCs w:val="20"/>
                <w:highlight w:val="none"/>
              </w:rPr>
            </w:pPr>
            <w:r>
              <w:rPr>
                <w:rFonts w:hint="eastAsia" w:ascii="宋体" w:hAnsi="宋体"/>
                <w:color w:val="auto"/>
                <w:sz w:val="20"/>
                <w:szCs w:val="20"/>
                <w:highlight w:val="none"/>
              </w:rPr>
              <w:t xml:space="preserve">根</w:t>
            </w:r>
            <w:r/>
          </w:p>
        </w:tc>
        <w:tc>
          <w:tcPr>
            <w:gridSpan w:val="2"/>
            <w:shd w:val="clear" w:color="000000" w:fill="ffffff"/>
            <w:tcBorders>
              <w:top w:val="none" w:color="000000" w:sz="4" w:space="0"/>
              <w:left w:val="none" w:color="000000" w:sz="4" w:space="0"/>
              <w:bottom w:val="single" w:color="auto" w:sz="4" w:space="0"/>
              <w:right w:val="single" w:color="auto" w:sz="4" w:space="0"/>
            </w:tcBorders>
            <w:tcW w:w="913"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250.00 </w:t>
            </w:r>
            <w:r/>
          </w:p>
        </w:tc>
        <w:tc>
          <w:tcPr>
            <w:gridSpan w:val="2"/>
            <w:shd w:val="clear" w:color="000000" w:fill="ffffff"/>
            <w:tcBorders>
              <w:top w:val="none" w:color="000000" w:sz="4" w:space="0"/>
              <w:left w:val="none" w:color="000000" w:sz="4" w:space="0"/>
              <w:bottom w:val="single" w:color="auto" w:sz="4" w:space="0"/>
              <w:right w:val="single" w:color="auto" w:sz="4" w:space="0"/>
            </w:tcBorders>
            <w:tcW w:w="944"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gridSpan w:val="3"/>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tcBorders>
              <w:top w:val="none" w:color="000000" w:sz="4" w:space="0"/>
              <w:left w:val="single" w:color="auto" w:sz="4" w:space="0"/>
              <w:bottom w:val="single" w:color="auto" w:sz="4" w:space="0"/>
              <w:right w:val="single" w:color="auto" w:sz="4" w:space="0"/>
            </w:tcBorders>
            <w:tcW w:w="994" w:type="dxa"/>
            <w:vAlign w:val="center"/>
            <w:textDirection w:val="lrTb"/>
            <w:noWrap/>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-08</w:t>
            </w:r>
            <w:r/>
          </w:p>
        </w:tc>
        <w:tc>
          <w:tcPr>
            <w:gridSpan w:val="2"/>
            <w:tcBorders>
              <w:top w:val="none" w:color="000000" w:sz="4" w:space="0"/>
              <w:left w:val="none" w:color="000000" w:sz="4" w:space="0"/>
              <w:bottom w:val="single" w:color="auto" w:sz="4" w:space="0"/>
              <w:right w:val="single" w:color="auto" w:sz="4" w:space="0"/>
            </w:tcBorders>
            <w:tcW w:w="3058" w:type="dxa"/>
            <w:vAlign w:val="center"/>
            <w:textDirection w:val="lrTb"/>
            <w:noWrap/>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车行隔离栏维修补缺服务</w:t>
            </w:r>
            <w:r/>
          </w:p>
        </w:tc>
        <w:tc>
          <w:tcPr>
            <w:gridSpan w:val="2"/>
            <w:shd w:val="clear" w:color="000000" w:fill="ffffff"/>
            <w:tcBorders>
              <w:top w:val="none" w:color="000000" w:sz="4" w:space="0"/>
              <w:left w:val="none" w:color="000000" w:sz="4" w:space="0"/>
              <w:bottom w:val="single" w:color="auto" w:sz="4" w:space="0"/>
              <w:right w:val="single" w:color="auto" w:sz="4" w:space="0"/>
            </w:tcBorders>
            <w:tcW w:w="835"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m</w:t>
            </w:r>
            <w:r/>
          </w:p>
        </w:tc>
        <w:tc>
          <w:tcPr>
            <w:gridSpan w:val="2"/>
            <w:shd w:val="clear" w:color="000000" w:fill="ffffff"/>
            <w:tcBorders>
              <w:top w:val="none" w:color="000000" w:sz="4" w:space="0"/>
              <w:left w:val="none" w:color="000000" w:sz="4" w:space="0"/>
              <w:bottom w:val="single" w:color="auto" w:sz="4" w:space="0"/>
              <w:right w:val="single" w:color="auto" w:sz="4" w:space="0"/>
            </w:tcBorders>
            <w:tcW w:w="913"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620.00 </w:t>
            </w:r>
            <w:r/>
          </w:p>
        </w:tc>
        <w:tc>
          <w:tcPr>
            <w:gridSpan w:val="2"/>
            <w:shd w:val="clear" w:color="000000" w:fill="ffffff"/>
            <w:tcBorders>
              <w:top w:val="none" w:color="000000" w:sz="4" w:space="0"/>
              <w:left w:val="none" w:color="000000" w:sz="4" w:space="0"/>
              <w:bottom w:val="single" w:color="auto" w:sz="4" w:space="0"/>
              <w:right w:val="single" w:color="auto" w:sz="4" w:space="0"/>
            </w:tcBorders>
            <w:tcW w:w="944"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gridSpan w:val="3"/>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gridSpan w:val="5"/>
            <w:shd w:val="clear" w:color="000000" w:fill="ffffff"/>
            <w:tcBorders>
              <w:top w:val="single" w:color="auto" w:sz="4" w:space="0"/>
              <w:left w:val="single" w:color="auto" w:sz="4" w:space="0"/>
              <w:bottom w:val="single" w:color="auto" w:sz="4" w:space="0"/>
              <w:right w:val="none" w:color="000000" w:sz="4" w:space="0"/>
            </w:tcBorders>
            <w:tcW w:w="4887" w:type="dxa"/>
            <w:vAlign w:val="center"/>
            <w:textDirection w:val="lrTb"/>
            <w:noWrap/>
          </w:tcPr>
          <w:p>
            <w:pPr>
              <w:jc w:val="right"/>
              <w:widowControl/>
              <w:rPr>
                <w:rFonts w:ascii="Times New Roman" w:hAnsi="Times New Roman"/>
                <w:b/>
                <w:bCs/>
                <w:color w:val="auto"/>
                <w:sz w:val="20"/>
                <w:szCs w:val="20"/>
                <w:highlight w:val="none"/>
              </w:rPr>
            </w:pPr>
            <w:r>
              <w:rPr>
                <w:rFonts w:ascii="Times New Roman" w:hAnsi="Times New Roman"/>
                <w:b/>
                <w:bCs/>
                <w:color w:val="auto"/>
                <w:sz w:val="20"/>
                <w:szCs w:val="20"/>
                <w:highlight w:val="none"/>
              </w:rPr>
              <w:t xml:space="preserve">500-2</w:t>
            </w:r>
            <w:r>
              <w:rPr>
                <w:rFonts w:hint="eastAsia" w:ascii="宋体" w:hAnsi="宋体"/>
                <w:b/>
                <w:bCs/>
                <w:color w:val="auto"/>
                <w:sz w:val="20"/>
                <w:szCs w:val="20"/>
                <w:highlight w:val="none"/>
              </w:rPr>
              <w:t xml:space="preserve">章小计</w:t>
            </w:r>
            <w:r>
              <w:rPr>
                <w:rFonts w:ascii="Times New Roman" w:hAnsi="Times New Roman"/>
                <w:b/>
                <w:bCs/>
                <w:color w:val="auto"/>
                <w:sz w:val="20"/>
                <w:szCs w:val="20"/>
                <w:highlight w:val="none"/>
              </w:rPr>
              <w:t xml:space="preserve">   </w:t>
            </w:r>
            <w:r>
              <w:rPr>
                <w:rFonts w:hint="eastAsia" w:ascii="宋体" w:hAnsi="宋体"/>
                <w:b/>
                <w:bCs/>
                <w:color w:val="auto"/>
                <w:sz w:val="20"/>
                <w:szCs w:val="20"/>
                <w:highlight w:val="none"/>
              </w:rPr>
              <w:t xml:space="preserve">人民币</w:t>
            </w:r>
            <w:r/>
          </w:p>
        </w:tc>
        <w:tc>
          <w:tcPr>
            <w:gridSpan w:val="4"/>
            <w:shd w:val="clear" w:color="000000" w:fill="ffffff"/>
            <w:tcBorders>
              <w:top w:val="single" w:color="auto" w:sz="4" w:space="0"/>
              <w:left w:val="none" w:color="000000" w:sz="4" w:space="0"/>
              <w:bottom w:val="single" w:color="auto" w:sz="4" w:space="0"/>
              <w:right w:val="none" w:color="000000" w:sz="4" w:space="0"/>
            </w:tcBorders>
            <w:tcW w:w="1857" w:type="dxa"/>
            <w:vAlign w:val="center"/>
            <w:textDirection w:val="lrTb"/>
            <w:noWrap/>
          </w:tcPr>
          <w:p>
            <w:pPr>
              <w:jc w:val="center"/>
              <w:widowControl/>
              <w:rPr>
                <w:rFonts w:ascii="Times New Roman" w:hAnsi="Times New Roman"/>
                <w:b/>
                <w:bCs/>
                <w:color w:val="auto"/>
                <w:sz w:val="20"/>
                <w:szCs w:val="20"/>
                <w:highlight w:val="none"/>
                <w:u w:val="single"/>
              </w:rPr>
            </w:pPr>
            <w:r>
              <w:rPr>
                <w:rFonts w:hint="eastAsia" w:ascii="Times New Roman" w:hAnsi="Times New Roman"/>
                <w:b/>
                <w:bCs/>
                <w:color w:val="auto"/>
                <w:sz w:val="20"/>
                <w:szCs w:val="20"/>
                <w:highlight w:val="none"/>
                <w:u w:val="single"/>
              </w:rPr>
              <w:t xml:space="preserve">           </w:t>
            </w:r>
            <w:r>
              <w:rPr>
                <w:rFonts w:ascii="Times New Roman" w:hAnsi="Times New Roman"/>
                <w:b/>
                <w:bCs/>
                <w:color w:val="auto"/>
                <w:sz w:val="20"/>
                <w:szCs w:val="20"/>
                <w:highlight w:val="none"/>
                <w:u w:val="single"/>
              </w:rPr>
              <w:t xml:space="preserve"> </w:t>
            </w:r>
            <w:r/>
          </w:p>
        </w:tc>
        <w:tc>
          <w:tcPr>
            <w:gridSpan w:val="3"/>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tcPr>
          <w:p>
            <w:pPr>
              <w:jc w:val="left"/>
              <w:widowControl/>
              <w:rPr>
                <w:rFonts w:ascii="Times New Roman" w:hAnsi="Times New Roman"/>
                <w:b/>
                <w:bCs/>
                <w:color w:val="auto"/>
                <w:sz w:val="20"/>
                <w:szCs w:val="20"/>
                <w:highlight w:val="none"/>
              </w:rPr>
            </w:pPr>
            <w:r>
              <w:rPr>
                <w:rFonts w:hint="eastAsia" w:ascii="宋体" w:hAnsi="宋体"/>
                <w:b/>
                <w:bCs/>
                <w:color w:val="auto"/>
                <w:sz w:val="20"/>
                <w:szCs w:val="20"/>
                <w:highlight w:val="none"/>
              </w:rPr>
              <w:t xml:space="preserve">元</w:t>
            </w:r>
            <w:r/>
          </w:p>
        </w:tc>
      </w:tr>
      <w:tr>
        <w:trPr>
          <w:gridAfter w:val="1"/>
          <w:trHeight w:val="840"/>
        </w:trPr>
        <w:tc>
          <w:tcPr>
            <w:gridSpan w:val="11"/>
            <w:tcBorders>
              <w:top w:val="none" w:color="000000" w:sz="4" w:space="0"/>
              <w:left w:val="none" w:color="000000" w:sz="4" w:space="0"/>
              <w:bottom w:val="none" w:color="000000" w:sz="4" w:space="0"/>
              <w:right w:val="none" w:color="000000" w:sz="4" w:space="0"/>
            </w:tcBorders>
            <w:tcW w:w="8540" w:type="dxa"/>
            <w:vAlign w:val="center"/>
            <w:textDirection w:val="lrTb"/>
            <w:noWrap w:val="false"/>
          </w:tcPr>
          <w:p>
            <w:pPr>
              <w:jc w:val="center"/>
              <w:widowControl/>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jc w:val="center"/>
              <w:widowControl/>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jc w:val="center"/>
              <w:widowControl/>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pStyle w:val="845"/>
              <w:rPr>
                <w:rFonts w:hint="eastAsia"/>
                <w:color w:val="auto"/>
                <w:highlight w:val="none"/>
              </w:rPr>
            </w:pPr>
            <w:r>
              <w:rPr>
                <w:rFonts w:hint="eastAsia"/>
                <w:color w:val="auto"/>
                <w:highlight w:val="none"/>
              </w:rPr>
            </w:r>
            <w:r/>
          </w:p>
          <w:p>
            <w:pPr>
              <w:pStyle w:val="845"/>
              <w:rPr>
                <w:rFonts w:hint="eastAsia"/>
                <w:color w:val="auto"/>
                <w:highlight w:val="none"/>
              </w:rPr>
            </w:pPr>
            <w:r>
              <w:rPr>
                <w:rFonts w:hint="eastAsia"/>
                <w:color w:val="auto"/>
                <w:highlight w:val="none"/>
              </w:rPr>
            </w:r>
            <w:r/>
          </w:p>
          <w:p>
            <w:pPr>
              <w:pStyle w:val="845"/>
              <w:rPr>
                <w:rFonts w:hint="eastAsia"/>
                <w:color w:val="auto"/>
                <w:highlight w:val="none"/>
              </w:rPr>
            </w:pPr>
            <w:r>
              <w:rPr>
                <w:rFonts w:hint="eastAsia"/>
                <w:color w:val="auto"/>
                <w:highlight w:val="none"/>
              </w:rPr>
            </w:r>
            <w:r/>
          </w:p>
          <w:p>
            <w:pPr>
              <w:pStyle w:val="845"/>
              <w:rPr>
                <w:rFonts w:hint="eastAsia"/>
                <w:color w:val="auto"/>
                <w:highlight w:val="none"/>
              </w:rPr>
            </w:pPr>
            <w:r>
              <w:rPr>
                <w:rFonts w:hint="eastAsia"/>
                <w:color w:val="auto"/>
                <w:highlight w:val="none"/>
              </w:rPr>
            </w:r>
            <w:r/>
          </w:p>
          <w:p>
            <w:pPr>
              <w:pStyle w:val="845"/>
              <w:rPr>
                <w:rFonts w:hint="eastAsia"/>
                <w:color w:val="auto"/>
                <w:highlight w:val="none"/>
              </w:rPr>
            </w:pPr>
            <w:r>
              <w:rPr>
                <w:rFonts w:hint="eastAsia"/>
                <w:color w:val="auto"/>
                <w:highlight w:val="none"/>
              </w:rPr>
            </w:r>
            <w:r/>
          </w:p>
          <w:p>
            <w:pPr>
              <w:pStyle w:val="845"/>
              <w:rPr>
                <w:rFonts w:hint="eastAsia"/>
                <w:color w:val="auto"/>
                <w:highlight w:val="none"/>
              </w:rPr>
            </w:pPr>
            <w:r>
              <w:rPr>
                <w:rFonts w:hint="eastAsia"/>
                <w:color w:val="auto"/>
                <w:highlight w:val="none"/>
              </w:rPr>
            </w:r>
            <w:r/>
          </w:p>
          <w:p>
            <w:pPr>
              <w:pStyle w:val="845"/>
              <w:rPr>
                <w:rFonts w:hint="eastAsia"/>
                <w:color w:val="auto"/>
                <w:highlight w:val="none"/>
              </w:rPr>
            </w:pPr>
            <w:r>
              <w:rPr>
                <w:rFonts w:hint="eastAsia"/>
                <w:color w:val="auto"/>
                <w:highlight w:val="none"/>
              </w:rPr>
            </w:r>
            <w:r/>
          </w:p>
          <w:p>
            <w:pPr>
              <w:pStyle w:val="807"/>
              <w:rPr>
                <w:rFonts w:hint="eastAsia"/>
                <w:color w:val="auto"/>
              </w:rPr>
            </w:pPr>
            <w:r>
              <w:rPr>
                <w:rFonts w:hint="eastAsia"/>
                <w:color w:val="auto"/>
              </w:rPr>
              <w:t xml:space="preserve">（十一）★第600章 S122辅道（汤山段）日常养护绿化及环境保护设施服务（基价类）</w:t>
            </w:r>
            <w:r/>
          </w:p>
          <w:p>
            <w:pPr>
              <w:pStyle w:val="845"/>
              <w:ind w:left="0" w:firstLine="0"/>
              <w:rPr>
                <w:rFonts w:hint="eastAsia"/>
                <w:color w:val="auto"/>
                <w:highlight w:val="none"/>
              </w:rPr>
            </w:pPr>
            <w:r>
              <w:rPr>
                <w:rFonts w:hint="eastAsia"/>
                <w:color w:val="auto"/>
                <w:highlight w:val="none"/>
              </w:rPr>
            </w:r>
            <w:r/>
          </w:p>
          <w:p>
            <w:pPr>
              <w:pStyle w:val="845"/>
              <w:rPr>
                <w:rFonts w:hint="eastAsia"/>
                <w:color w:val="auto"/>
                <w:highlight w:val="none"/>
              </w:rPr>
            </w:pPr>
            <w:r>
              <w:rPr>
                <w:rFonts w:hint="eastAsia"/>
                <w:color w:val="auto"/>
                <w:highlight w:val="none"/>
              </w:rPr>
            </w:r>
            <w:r/>
          </w:p>
          <w:p>
            <w:pPr>
              <w:jc w:val="center"/>
              <w:widowControl/>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第6</w:t>
            </w:r>
            <w:r>
              <w:rPr>
                <w:rFonts w:ascii="Times New Roman" w:hAnsi="Times New Roman"/>
                <w:b/>
                <w:bCs/>
                <w:color w:val="auto"/>
                <w:sz w:val="28"/>
                <w:szCs w:val="28"/>
                <w:highlight w:val="none"/>
              </w:rPr>
              <w:t xml:space="preserve">00</w:t>
            </w:r>
            <w:r>
              <w:rPr>
                <w:rFonts w:hint="eastAsia" w:ascii="宋体" w:hAnsi="宋体" w:cs="宋体"/>
                <w:b/>
                <w:bCs/>
                <w:color w:val="auto"/>
                <w:sz w:val="28"/>
                <w:szCs w:val="28"/>
                <w:highlight w:val="none"/>
              </w:rPr>
              <w:t xml:space="preserve">章</w:t>
            </w:r>
            <w:r>
              <w:rPr>
                <w:rFonts w:ascii="Times New Roman" w:hAnsi="Times New Roman"/>
                <w:b/>
                <w:bCs/>
                <w:color w:val="auto"/>
                <w:sz w:val="28"/>
                <w:szCs w:val="28"/>
                <w:highlight w:val="none"/>
              </w:rPr>
              <w:t xml:space="preserve">   S122</w:t>
            </w:r>
            <w:r>
              <w:rPr>
                <w:rFonts w:hint="eastAsia" w:ascii="宋体" w:hAnsi="宋体" w:cs="宋体"/>
                <w:b/>
                <w:bCs/>
                <w:color w:val="auto"/>
                <w:sz w:val="28"/>
                <w:szCs w:val="28"/>
                <w:highlight w:val="none"/>
              </w:rPr>
              <w:t xml:space="preserve">辅道（汤山段）日常养护                                     绿化及环境保护设施服务（基价类）</w:t>
            </w:r>
            <w:r/>
          </w:p>
        </w:tc>
      </w:tr>
      <w:tr>
        <w:trPr>
          <w:gridAfter w:val="1"/>
          <w:trHeight w:val="501"/>
        </w:trPr>
        <w:tc>
          <w:tcPr>
            <w:gridSpan w:val="2"/>
            <w:tcBorders>
              <w:top w:val="none" w:color="000000" w:sz="4" w:space="0"/>
              <w:left w:val="none" w:color="000000" w:sz="4" w:space="0"/>
              <w:bottom w:val="single" w:color="auto" w:sz="4" w:space="0"/>
              <w:right w:val="none" w:color="000000" w:sz="4" w:space="0"/>
            </w:tcBorders>
            <w:tcW w:w="1020" w:type="dxa"/>
            <w:vAlign w:val="center"/>
            <w:textDirection w:val="lrTb"/>
            <w:noWrap/>
          </w:tcPr>
          <w:p>
            <w:pPr>
              <w:jc w:val="left"/>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gridSpan w:val="2"/>
            <w:tcBorders>
              <w:top w:val="none" w:color="000000" w:sz="4" w:space="0"/>
              <w:left w:val="none" w:color="000000" w:sz="4" w:space="0"/>
              <w:bottom w:val="single" w:color="auto" w:sz="4" w:space="0"/>
              <w:right w:val="none" w:color="000000" w:sz="4" w:space="0"/>
            </w:tcBorders>
            <w:tcW w:w="3440" w:type="dxa"/>
            <w:vAlign w:val="center"/>
            <w:textDirection w:val="lrTb"/>
            <w:noWrap/>
          </w:tcPr>
          <w:p>
            <w:pPr>
              <w:jc w:val="lef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gridSpan w:val="2"/>
            <w:tcBorders>
              <w:top w:val="none" w:color="000000" w:sz="4" w:space="0"/>
              <w:left w:val="none" w:color="000000" w:sz="4" w:space="0"/>
              <w:bottom w:val="none" w:color="000000" w:sz="4" w:space="0"/>
              <w:right w:val="none" w:color="000000" w:sz="4" w:space="0"/>
            </w:tcBorders>
            <w:tcW w:w="1020" w:type="dxa"/>
            <w:vAlign w:val="bottom"/>
            <w:textDirection w:val="lrTb"/>
            <w:noWrap w:val="false"/>
          </w:tcPr>
          <w:p>
            <w:pPr>
              <w:jc w:val="left"/>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gridSpan w:val="2"/>
            <w:tcBorders>
              <w:top w:val="none" w:color="000000" w:sz="4" w:space="0"/>
              <w:left w:val="none" w:color="000000" w:sz="4" w:space="0"/>
              <w:bottom w:val="none" w:color="000000" w:sz="4" w:space="0"/>
              <w:right w:val="none" w:color="000000" w:sz="4" w:space="0"/>
            </w:tcBorders>
            <w:tcW w:w="1020" w:type="dxa"/>
            <w:vAlign w:val="bottom"/>
            <w:textDirection w:val="lrTb"/>
            <w:noWrap w:val="false"/>
          </w:tcPr>
          <w:p>
            <w:pPr>
              <w:jc w:val="left"/>
              <w:widowControl/>
              <w:rPr>
                <w:rFonts w:ascii="Times New Roman" w:hAnsi="Times New Roman" w:eastAsia="Times New Roman"/>
                <w:color w:val="auto"/>
                <w:sz w:val="20"/>
                <w:szCs w:val="20"/>
                <w:highlight w:val="none"/>
              </w:rPr>
            </w:pPr>
            <w:r>
              <w:rPr>
                <w:rFonts w:ascii="Times New Roman" w:hAnsi="Times New Roman" w:eastAsia="Times New Roman"/>
                <w:color w:val="auto"/>
                <w:sz w:val="20"/>
                <w:szCs w:val="20"/>
                <w:highlight w:val="none"/>
              </w:rPr>
            </w:r>
            <w:r/>
          </w:p>
        </w:tc>
        <w:tc>
          <w:tcPr>
            <w:gridSpan w:val="3"/>
            <w:tcBorders>
              <w:top w:val="none" w:color="000000" w:sz="4" w:space="0"/>
              <w:left w:val="none" w:color="000000" w:sz="4" w:space="0"/>
              <w:bottom w:val="none" w:color="000000" w:sz="4" w:space="0"/>
              <w:right w:val="none" w:color="000000" w:sz="4" w:space="0"/>
            </w:tcBorders>
            <w:tcW w:w="2040" w:type="dxa"/>
            <w:vAlign w:val="center"/>
            <w:textDirection w:val="lrTb"/>
            <w:noWrap w:val="false"/>
          </w:tcPr>
          <w:p>
            <w:pPr>
              <w:jc w:val="center"/>
              <w:widowControl/>
              <w:rPr>
                <w:rFonts w:ascii="Times New Roman" w:hAnsi="Times New Roman"/>
                <w:color w:val="auto"/>
                <w:sz w:val="20"/>
                <w:szCs w:val="20"/>
                <w:highlight w:val="none"/>
              </w:rPr>
            </w:pPr>
            <w:r>
              <w:rPr>
                <w:rFonts w:hint="eastAsia" w:ascii="宋体" w:hAnsi="宋体"/>
                <w:color w:val="auto"/>
                <w:sz w:val="20"/>
                <w:szCs w:val="20"/>
                <w:highlight w:val="none"/>
              </w:rPr>
              <w:t xml:space="preserve">货币单位：人民币元</w:t>
            </w:r>
            <w:r/>
          </w:p>
        </w:tc>
      </w:tr>
      <w:tr>
        <w:trPr>
          <w:gridAfter w:val="1"/>
          <w:trHeight w:val="501"/>
        </w:trPr>
        <w:tc>
          <w:tcPr>
            <w:gridSpan w:val="2"/>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b/>
                <w:bCs/>
                <w:color w:val="auto"/>
                <w:sz w:val="20"/>
                <w:szCs w:val="20"/>
                <w:highlight w:val="none"/>
              </w:rPr>
            </w:pPr>
            <w:r>
              <w:rPr>
                <w:rFonts w:hint="eastAsia" w:ascii="宋体" w:hAnsi="宋体"/>
                <w:b/>
                <w:bCs/>
                <w:color w:val="auto"/>
                <w:sz w:val="20"/>
                <w:szCs w:val="20"/>
                <w:highlight w:val="none"/>
              </w:rPr>
              <w:t xml:space="preserve">细目号</w:t>
            </w:r>
            <w:r/>
          </w:p>
        </w:tc>
        <w:tc>
          <w:tcPr>
            <w:gridSpan w:val="2"/>
            <w:tcBorders>
              <w:top w:val="none" w:color="000000" w:sz="4" w:space="0"/>
              <w:left w:val="none" w:color="000000" w:sz="4" w:space="0"/>
              <w:bottom w:val="single" w:color="auto" w:sz="4" w:space="0"/>
              <w:right w:val="single" w:color="auto" w:sz="4" w:space="0"/>
            </w:tcBorders>
            <w:tcW w:w="3440" w:type="dxa"/>
            <w:vAlign w:val="center"/>
            <w:textDirection w:val="lrTb"/>
            <w:noWrap w:val="false"/>
          </w:tcPr>
          <w:p>
            <w:pPr>
              <w:jc w:val="center"/>
              <w:widowControl/>
              <w:rPr>
                <w:rFonts w:ascii="Times New Roman" w:hAnsi="Times New Roman"/>
                <w:b/>
                <w:bCs/>
                <w:color w:val="auto"/>
                <w:sz w:val="20"/>
                <w:szCs w:val="20"/>
                <w:highlight w:val="none"/>
              </w:rPr>
            </w:pPr>
            <w:r>
              <w:rPr>
                <w:rFonts w:hint="eastAsia" w:ascii="宋体" w:hAnsi="宋体"/>
                <w:b/>
                <w:bCs/>
                <w:color w:val="auto"/>
                <w:sz w:val="20"/>
                <w:szCs w:val="20"/>
                <w:highlight w:val="none"/>
              </w:rPr>
              <w:t xml:space="preserve">细目名称</w:t>
            </w:r>
            <w:r/>
          </w:p>
        </w:tc>
        <w:tc>
          <w:tcPr>
            <w:gridSpan w:val="2"/>
            <w:tcBorders>
              <w:top w:val="single" w:color="auto"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b/>
                <w:bCs/>
                <w:color w:val="auto"/>
                <w:sz w:val="20"/>
                <w:szCs w:val="20"/>
                <w:highlight w:val="none"/>
              </w:rPr>
            </w:pPr>
            <w:r>
              <w:rPr>
                <w:rFonts w:hint="eastAsia" w:ascii="宋体" w:hAnsi="宋体"/>
                <w:b/>
                <w:bCs/>
                <w:color w:val="auto"/>
                <w:sz w:val="20"/>
                <w:szCs w:val="20"/>
                <w:highlight w:val="none"/>
              </w:rPr>
              <w:t xml:space="preserve">单位</w:t>
            </w:r>
            <w:r/>
          </w:p>
        </w:tc>
        <w:tc>
          <w:tcPr>
            <w:gridSpan w:val="2"/>
            <w:tcBorders>
              <w:top w:val="single" w:color="auto"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b/>
                <w:bCs/>
                <w:color w:val="auto"/>
                <w:sz w:val="20"/>
                <w:szCs w:val="20"/>
                <w:highlight w:val="none"/>
              </w:rPr>
            </w:pPr>
            <w:r>
              <w:rPr>
                <w:rFonts w:hint="eastAsia" w:ascii="宋体" w:hAnsi="宋体"/>
                <w:b/>
                <w:bCs/>
                <w:color w:val="auto"/>
                <w:sz w:val="20"/>
                <w:szCs w:val="20"/>
                <w:highlight w:val="none"/>
              </w:rPr>
              <w:t xml:space="preserve">数量</w:t>
            </w:r>
            <w:r/>
          </w:p>
        </w:tc>
        <w:tc>
          <w:tcPr>
            <w:gridSpan w:val="2"/>
            <w:tcBorders>
              <w:top w:val="single" w:color="auto"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Times New Roman" w:hAnsi="Times New Roman"/>
                <w:b/>
                <w:bCs/>
                <w:color w:val="auto"/>
                <w:sz w:val="20"/>
                <w:szCs w:val="20"/>
                <w:highlight w:val="none"/>
              </w:rPr>
            </w:pPr>
            <w:r>
              <w:rPr>
                <w:rFonts w:hint="eastAsia" w:ascii="宋体" w:hAnsi="宋体"/>
                <w:b/>
                <w:bCs/>
                <w:color w:val="auto"/>
                <w:sz w:val="20"/>
                <w:szCs w:val="20"/>
                <w:highlight w:val="none"/>
              </w:rPr>
              <w:t xml:space="preserve">单价</w:t>
            </w:r>
            <w:r/>
          </w:p>
        </w:tc>
        <w:tc>
          <w:tcPr>
            <w:tcBorders>
              <w:top w:val="single" w:color="auto"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b/>
                <w:bCs/>
                <w:color w:val="auto"/>
                <w:sz w:val="20"/>
                <w:szCs w:val="20"/>
                <w:highlight w:val="none"/>
              </w:rPr>
            </w:pPr>
            <w:r>
              <w:rPr>
                <w:rFonts w:hint="eastAsia" w:ascii="宋体" w:hAnsi="宋体"/>
                <w:b/>
                <w:bCs/>
                <w:color w:val="auto"/>
                <w:sz w:val="20"/>
                <w:szCs w:val="20"/>
                <w:highlight w:val="none"/>
              </w:rPr>
              <w:t xml:space="preserve">合价</w:t>
            </w:r>
            <w:r/>
          </w:p>
        </w:tc>
      </w:tr>
      <w:tr>
        <w:trPr>
          <w:gridAfter w:val="1"/>
          <w:trHeight w:val="501"/>
        </w:trPr>
        <w:tc>
          <w:tcPr>
            <w:gridSpan w:val="2"/>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S122LHJ</w:t>
            </w:r>
            <w:r/>
          </w:p>
        </w:tc>
        <w:tc>
          <w:tcPr>
            <w:gridSpan w:val="2"/>
            <w:tcBorders>
              <w:top w:val="none" w:color="000000" w:sz="4" w:space="0"/>
              <w:left w:val="none" w:color="000000" w:sz="4" w:space="0"/>
              <w:bottom w:val="single" w:color="auto" w:sz="4" w:space="0"/>
              <w:right w:val="single" w:color="auto" w:sz="4" w:space="0"/>
            </w:tcBorders>
            <w:tcW w:w="3440" w:type="dxa"/>
            <w:vAlign w:val="center"/>
            <w:textDirection w:val="lrTb"/>
            <w:noWrap w:val="false"/>
          </w:tcPr>
          <w:p>
            <w:pPr>
              <w:jc w:val="lef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gridSpan w:val="2"/>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gridSpan w:val="2"/>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gridSpan w:val="2"/>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r>
      <w:tr>
        <w:trPr>
          <w:gridAfter w:val="1"/>
          <w:trHeight w:val="501"/>
        </w:trPr>
        <w:tc>
          <w:tcPr>
            <w:gridSpan w:val="2"/>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-01</w:t>
            </w:r>
            <w:r/>
          </w:p>
        </w:tc>
        <w:tc>
          <w:tcPr>
            <w:gridSpan w:val="2"/>
            <w:tcBorders>
              <w:top w:val="none" w:color="000000" w:sz="4" w:space="0"/>
              <w:left w:val="none" w:color="000000" w:sz="4" w:space="0"/>
              <w:bottom w:val="single" w:color="auto" w:sz="4" w:space="0"/>
              <w:right w:val="single" w:color="auto" w:sz="4" w:space="0"/>
            </w:tcBorders>
            <w:tcW w:w="344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行道树养护服务</w:t>
            </w:r>
            <w:r/>
          </w:p>
        </w:tc>
        <w:tc>
          <w:tcPr>
            <w:gridSpan w:val="2"/>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hint="eastAsia" w:ascii="宋体" w:hAnsi="宋体"/>
                <w:color w:val="auto"/>
                <w:sz w:val="20"/>
                <w:szCs w:val="20"/>
                <w:highlight w:val="none"/>
              </w:rPr>
              <w:t xml:space="preserve">株</w:t>
            </w:r>
            <w:r/>
          </w:p>
        </w:tc>
        <w:tc>
          <w:tcPr>
            <w:gridSpan w:val="2"/>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2803</w:t>
            </w:r>
            <w:r/>
          </w:p>
        </w:tc>
        <w:tc>
          <w:tcPr>
            <w:gridSpan w:val="2"/>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gridAfter w:val="1"/>
          <w:trHeight w:val="501"/>
        </w:trPr>
        <w:tc>
          <w:tcPr>
            <w:gridSpan w:val="2"/>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-02</w:t>
            </w:r>
            <w:r/>
          </w:p>
        </w:tc>
        <w:tc>
          <w:tcPr>
            <w:gridSpan w:val="2"/>
            <w:tcBorders>
              <w:top w:val="none" w:color="000000" w:sz="4" w:space="0"/>
              <w:left w:val="none" w:color="000000" w:sz="4" w:space="0"/>
              <w:bottom w:val="single" w:color="auto" w:sz="4" w:space="0"/>
              <w:right w:val="single" w:color="auto" w:sz="4" w:space="0"/>
            </w:tcBorders>
            <w:tcW w:w="3440"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绿化带养护服务</w:t>
            </w:r>
            <w:r/>
          </w:p>
        </w:tc>
        <w:tc>
          <w:tcPr>
            <w:gridSpan w:val="2"/>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m</w:t>
            </w:r>
            <w:r>
              <w:rPr>
                <w:rFonts w:ascii="Times New Roman" w:hAnsi="Times New Roman"/>
                <w:color w:val="auto"/>
                <w:sz w:val="20"/>
                <w:szCs w:val="20"/>
                <w:highlight w:val="none"/>
                <w:vertAlign w:val="superscript"/>
              </w:rPr>
              <w:t xml:space="preserve">2</w:t>
            </w:r>
            <w:r/>
          </w:p>
        </w:tc>
        <w:tc>
          <w:tcPr>
            <w:gridSpan w:val="2"/>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269461.1</w:t>
            </w:r>
            <w:r/>
          </w:p>
        </w:tc>
        <w:tc>
          <w:tcPr>
            <w:gridSpan w:val="2"/>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gridAfter w:val="1"/>
          <w:trHeight w:val="501"/>
        </w:trPr>
        <w:tc>
          <w:tcPr>
            <w:gridSpan w:val="6"/>
            <w:tcBorders>
              <w:top w:val="single" w:color="auto" w:sz="4" w:space="0"/>
              <w:left w:val="single" w:color="auto" w:sz="4" w:space="0"/>
              <w:bottom w:val="single" w:color="auto" w:sz="4" w:space="0"/>
              <w:right w:val="none" w:color="000000" w:sz="4" w:space="0"/>
            </w:tcBorders>
            <w:tcW w:w="5480" w:type="dxa"/>
            <w:vAlign w:val="center"/>
            <w:textDirection w:val="lrTb"/>
            <w:noWrap/>
          </w:tcPr>
          <w:p>
            <w:pPr>
              <w:jc w:val="right"/>
              <w:widowControl/>
              <w:rPr>
                <w:rFonts w:ascii="Times New Roman" w:hAnsi="Times New Roman"/>
                <w:b/>
                <w:bCs/>
                <w:color w:val="auto"/>
                <w:sz w:val="20"/>
                <w:szCs w:val="20"/>
                <w:highlight w:val="none"/>
              </w:rPr>
            </w:pPr>
            <w:r>
              <w:rPr>
                <w:rFonts w:ascii="Times New Roman" w:hAnsi="Times New Roman"/>
                <w:b/>
                <w:bCs/>
                <w:color w:val="auto"/>
                <w:sz w:val="20"/>
                <w:szCs w:val="20"/>
                <w:highlight w:val="none"/>
              </w:rPr>
              <w:t xml:space="preserve"> 600-1</w:t>
            </w:r>
            <w:r>
              <w:rPr>
                <w:rFonts w:hint="eastAsia" w:ascii="宋体" w:hAnsi="宋体"/>
                <w:b/>
                <w:bCs/>
                <w:color w:val="auto"/>
                <w:sz w:val="20"/>
                <w:szCs w:val="20"/>
                <w:highlight w:val="none"/>
              </w:rPr>
              <w:t xml:space="preserve">章小计</w:t>
            </w:r>
            <w:r>
              <w:rPr>
                <w:rFonts w:ascii="Times New Roman" w:hAnsi="Times New Roman"/>
                <w:b/>
                <w:bCs/>
                <w:color w:val="auto"/>
                <w:sz w:val="20"/>
                <w:szCs w:val="20"/>
                <w:highlight w:val="none"/>
              </w:rPr>
              <w:t xml:space="preserve">   </w:t>
            </w:r>
            <w:r>
              <w:rPr>
                <w:rFonts w:hint="eastAsia" w:ascii="宋体" w:hAnsi="宋体"/>
                <w:b/>
                <w:bCs/>
                <w:color w:val="auto"/>
                <w:sz w:val="20"/>
                <w:szCs w:val="20"/>
                <w:highlight w:val="none"/>
              </w:rPr>
              <w:t xml:space="preserve">人民币</w:t>
            </w:r>
            <w:r/>
          </w:p>
        </w:tc>
        <w:tc>
          <w:tcPr>
            <w:gridSpan w:val="4"/>
            <w:tcBorders>
              <w:top w:val="single" w:color="auto" w:sz="4" w:space="0"/>
              <w:left w:val="none" w:color="000000" w:sz="4" w:space="0"/>
              <w:bottom w:val="single" w:color="auto" w:sz="4" w:space="0"/>
              <w:right w:val="none" w:color="000000" w:sz="4" w:space="0"/>
            </w:tcBorders>
            <w:tcW w:w="2040" w:type="dxa"/>
            <w:vAlign w:val="center"/>
            <w:textDirection w:val="lrTb"/>
            <w:noWrap/>
          </w:tcPr>
          <w:p>
            <w:pPr>
              <w:jc w:val="center"/>
              <w:widowControl/>
              <w:rPr>
                <w:rFonts w:ascii="Times New Roman" w:hAnsi="Times New Roman"/>
                <w:b/>
                <w:bCs/>
                <w:color w:val="auto"/>
                <w:sz w:val="20"/>
                <w:szCs w:val="20"/>
                <w:highlight w:val="none"/>
                <w:u w:val="single"/>
              </w:rPr>
            </w:pPr>
            <w:r>
              <w:rPr>
                <w:rFonts w:hint="eastAsia" w:ascii="Times New Roman" w:hAnsi="Times New Roman"/>
                <w:b/>
                <w:bCs/>
                <w:color w:val="auto"/>
                <w:sz w:val="20"/>
                <w:szCs w:val="20"/>
                <w:highlight w:val="none"/>
                <w:u w:val="single"/>
              </w:rPr>
              <w:t xml:space="preserve">               </w:t>
            </w:r>
            <w:r>
              <w:rPr>
                <w:rFonts w:ascii="Times New Roman" w:hAnsi="Times New Roman"/>
                <w:b/>
                <w:bCs/>
                <w:color w:val="auto"/>
                <w:sz w:val="20"/>
                <w:szCs w:val="20"/>
                <w:highlight w:val="none"/>
                <w:u w:val="single"/>
              </w:rPr>
              <w:t xml:space="preserve"> </w:t>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Times New Roman" w:hAnsi="Times New Roman"/>
                <w:b/>
                <w:bCs/>
                <w:color w:val="auto"/>
                <w:sz w:val="20"/>
                <w:szCs w:val="20"/>
                <w:highlight w:val="none"/>
              </w:rPr>
            </w:pPr>
            <w:r>
              <w:rPr>
                <w:rFonts w:hint="eastAsia" w:ascii="宋体" w:hAnsi="宋体"/>
                <w:b/>
                <w:bCs/>
                <w:color w:val="auto"/>
                <w:sz w:val="20"/>
                <w:szCs w:val="20"/>
                <w:highlight w:val="none"/>
              </w:rPr>
              <w:t xml:space="preserve">元</w:t>
            </w:r>
            <w:r/>
          </w:p>
        </w:tc>
      </w:tr>
    </w:tbl>
    <w:p>
      <w:pPr>
        <w:pStyle w:val="807"/>
        <w:rPr>
          <w:color w:val="auto"/>
        </w:rPr>
      </w:pPr>
      <w:r>
        <w:rPr>
          <w:rFonts w:hint="eastAsia"/>
          <w:color w:val="auto"/>
        </w:rPr>
        <w:t xml:space="preserve">（十二）★第600章 S122辅道（汤山段）日常养护绿化及环境保护设施服务（单价类）</w:t>
      </w:r>
      <w:r/>
    </w:p>
    <w:tbl>
      <w:tblPr>
        <w:tblStyle w:val="816"/>
        <w:tblW w:w="8540" w:type="dxa"/>
        <w:tblInd w:w="108" w:type="dxa"/>
        <w:tblLayout w:type="autofit"/>
        <w:tblCellMar>
          <w:left w:w="108" w:type="dxa"/>
          <w:top w:w="0" w:type="dxa"/>
          <w:right w:w="108" w:type="dxa"/>
          <w:bottom w:w="0" w:type="dxa"/>
        </w:tblCellMar>
        <w:tblLook w:val="04A0" w:firstRow="1" w:lastRow="0" w:firstColumn="1" w:lastColumn="0" w:noHBand="0" w:noVBand="1"/>
      </w:tblPr>
      <w:tblGrid>
        <w:gridCol w:w="1039"/>
        <w:gridCol w:w="3039"/>
        <w:gridCol w:w="873"/>
        <w:gridCol w:w="885"/>
        <w:gridCol w:w="935"/>
        <w:gridCol w:w="1830"/>
      </w:tblGrid>
      <w:tr>
        <w:trPr>
          <w:trHeight w:val="900"/>
        </w:trPr>
        <w:tc>
          <w:tcPr>
            <w:gridSpan w:val="6"/>
            <w:tcBorders>
              <w:top w:val="none" w:color="000000" w:sz="4" w:space="0"/>
              <w:left w:val="none" w:color="000000" w:sz="4" w:space="0"/>
              <w:bottom w:val="none" w:color="000000" w:sz="4" w:space="0"/>
              <w:right w:val="none" w:color="000000" w:sz="4" w:space="0"/>
            </w:tcBorders>
            <w:tcW w:w="8540" w:type="dxa"/>
            <w:vAlign w:val="center"/>
            <w:textDirection w:val="lrTb"/>
            <w:noWrap w:val="false"/>
          </w:tcPr>
          <w:p>
            <w:pPr>
              <w:jc w:val="center"/>
              <w:widowControl/>
              <w:rPr>
                <w:rFonts w:hint="eastAsia" w:ascii="宋体" w:hAnsi="宋体" w:cs="宋体"/>
                <w:b/>
                <w:bCs/>
                <w:color w:val="auto"/>
                <w:sz w:val="28"/>
                <w:szCs w:val="28"/>
                <w:highlight w:val="none"/>
              </w:rPr>
            </w:pPr>
            <w:r/>
            <w:bookmarkStart w:id="119" w:name="RANGE!A1:F6"/>
            <w:r/>
            <w:r/>
          </w:p>
          <w:p>
            <w:pPr>
              <w:jc w:val="center"/>
              <w:widowControl/>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第6</w:t>
            </w:r>
            <w:r>
              <w:rPr>
                <w:rFonts w:ascii="Times New Roman" w:hAnsi="Times New Roman"/>
                <w:b/>
                <w:bCs/>
                <w:color w:val="auto"/>
                <w:sz w:val="28"/>
                <w:szCs w:val="28"/>
                <w:highlight w:val="none"/>
              </w:rPr>
              <w:t xml:space="preserve">00</w:t>
            </w:r>
            <w:r>
              <w:rPr>
                <w:rFonts w:hint="eastAsia" w:ascii="宋体" w:hAnsi="宋体" w:cs="宋体"/>
                <w:b/>
                <w:bCs/>
                <w:color w:val="auto"/>
                <w:sz w:val="28"/>
                <w:szCs w:val="28"/>
                <w:highlight w:val="none"/>
              </w:rPr>
              <w:t xml:space="preserve">章</w:t>
            </w:r>
            <w:r>
              <w:rPr>
                <w:rFonts w:ascii="Times New Roman" w:hAnsi="Times New Roman"/>
                <w:b/>
                <w:bCs/>
                <w:color w:val="auto"/>
                <w:sz w:val="28"/>
                <w:szCs w:val="28"/>
                <w:highlight w:val="none"/>
              </w:rPr>
              <w:t xml:space="preserve">   S122</w:t>
            </w:r>
            <w:r>
              <w:rPr>
                <w:rFonts w:hint="eastAsia" w:ascii="宋体" w:hAnsi="宋体" w:cs="宋体"/>
                <w:b/>
                <w:bCs/>
                <w:color w:val="auto"/>
                <w:sz w:val="28"/>
                <w:szCs w:val="28"/>
                <w:highlight w:val="none"/>
              </w:rPr>
              <w:t xml:space="preserve">辅道（汤山段）日常养护                            绿化及环境保护设施服务（单价类）</w:t>
            </w:r>
            <w:bookmarkEnd w:id="119"/>
            <w:r/>
            <w:r/>
          </w:p>
        </w:tc>
      </w:tr>
      <w:tr>
        <w:trPr>
          <w:trHeight w:val="501"/>
        </w:trPr>
        <w:tc>
          <w:tcPr>
            <w:tcBorders>
              <w:top w:val="none" w:color="000000" w:sz="4" w:space="0"/>
              <w:left w:val="none" w:color="000000" w:sz="4" w:space="0"/>
              <w:bottom w:val="single" w:color="auto" w:sz="4" w:space="0"/>
              <w:right w:val="none" w:color="000000" w:sz="4" w:space="0"/>
            </w:tcBorders>
            <w:tcW w:w="978" w:type="dxa"/>
            <w:vAlign w:val="center"/>
            <w:textDirection w:val="lrTb"/>
            <w:noWrap/>
          </w:tcPr>
          <w:p>
            <w:pPr>
              <w:jc w:val="lef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标段号：</w:t>
            </w:r>
            <w:r/>
          </w:p>
        </w:tc>
        <w:tc>
          <w:tcPr>
            <w:tcBorders>
              <w:top w:val="none" w:color="000000" w:sz="4" w:space="0"/>
              <w:left w:val="none" w:color="000000" w:sz="4" w:space="0"/>
              <w:bottom w:val="single" w:color="auto" w:sz="4" w:space="0"/>
              <w:right w:val="none" w:color="000000" w:sz="4" w:space="0"/>
            </w:tcBorders>
            <w:tcW w:w="3039" w:type="dxa"/>
            <w:vAlign w:val="center"/>
            <w:textDirection w:val="lrTb"/>
            <w:noWrap/>
          </w:tcPr>
          <w:p>
            <w:pPr>
              <w:jc w:val="lef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tcBorders>
              <w:top w:val="none" w:color="000000" w:sz="4" w:space="0"/>
              <w:left w:val="none" w:color="000000" w:sz="4" w:space="0"/>
              <w:bottom w:val="single" w:color="auto" w:sz="4" w:space="0"/>
              <w:right w:val="none" w:color="000000" w:sz="4" w:space="0"/>
            </w:tcBorders>
            <w:tcW w:w="873" w:type="dxa"/>
            <w:vAlign w:val="center"/>
            <w:textDirection w:val="lrTb"/>
            <w:noWrap/>
          </w:tcPr>
          <w:p>
            <w:pPr>
              <w:jc w:val="lef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shd w:val="clear" w:color="000000" w:fill="ffffff"/>
            <w:tcBorders>
              <w:top w:val="none" w:color="000000" w:sz="4" w:space="0"/>
              <w:left w:val="none" w:color="000000" w:sz="4" w:space="0"/>
              <w:bottom w:val="single" w:color="auto" w:sz="4" w:space="0"/>
              <w:right w:val="none" w:color="000000" w:sz="4" w:space="0"/>
            </w:tcBorders>
            <w:tcW w:w="885" w:type="dxa"/>
            <w:vAlign w:val="center"/>
            <w:textDirection w:val="lrTb"/>
            <w:noWrap/>
          </w:tcPr>
          <w:p>
            <w:pPr>
              <w:jc w:val="lef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tcBorders>
              <w:top w:val="none" w:color="000000" w:sz="4" w:space="0"/>
              <w:left w:val="none" w:color="000000" w:sz="4" w:space="0"/>
              <w:bottom w:val="single" w:color="auto" w:sz="4" w:space="0"/>
              <w:right w:val="none" w:color="000000" w:sz="4" w:space="0"/>
            </w:tcBorders>
            <w:tcW w:w="935" w:type="dxa"/>
            <w:vAlign w:val="center"/>
            <w:textDirection w:val="lrTb"/>
            <w:noWrap/>
          </w:tcPr>
          <w:p>
            <w:pPr>
              <w:jc w:val="lef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tcBorders>
              <w:top w:val="none" w:color="000000" w:sz="4" w:space="0"/>
              <w:left w:val="none" w:color="000000" w:sz="4" w:space="0"/>
              <w:bottom w:val="single" w:color="auto" w:sz="4" w:space="0"/>
              <w:right w:val="none" w:color="000000" w:sz="4" w:space="0"/>
            </w:tcBorders>
            <w:tcW w:w="1830" w:type="dxa"/>
            <w:vAlign w:val="center"/>
            <w:textDirection w:val="lrTb"/>
            <w:noWrap/>
          </w:tcPr>
          <w:p>
            <w:pPr>
              <w:jc w:val="right"/>
              <w:widowControl/>
              <w:rPr>
                <w:rFonts w:ascii="Times New Roman" w:hAnsi="Times New Roman"/>
                <w:color w:val="auto"/>
                <w:sz w:val="20"/>
                <w:szCs w:val="20"/>
                <w:highlight w:val="none"/>
              </w:rPr>
            </w:pPr>
            <w:r>
              <w:rPr>
                <w:rFonts w:hint="eastAsia" w:ascii="宋体" w:hAnsi="宋体"/>
                <w:color w:val="auto"/>
                <w:sz w:val="20"/>
                <w:szCs w:val="20"/>
                <w:highlight w:val="none"/>
              </w:rPr>
              <w:t xml:space="preserve">货币单位：人民币元</w:t>
            </w:r>
            <w:r/>
          </w:p>
        </w:tc>
      </w:tr>
      <w:tr>
        <w:trPr>
          <w:trHeight w:val="501"/>
        </w:trPr>
        <w:tc>
          <w:tcPr>
            <w:shd w:val="clear" w:color="000000" w:fill="ffffff"/>
            <w:tcBorders>
              <w:top w:val="none" w:color="000000" w:sz="4" w:space="0"/>
              <w:left w:val="single" w:color="auto" w:sz="4" w:space="0"/>
              <w:bottom w:val="single" w:color="auto" w:sz="4" w:space="0"/>
              <w:right w:val="single" w:color="auto" w:sz="4" w:space="0"/>
            </w:tcBorders>
            <w:tcW w:w="978" w:type="dxa"/>
            <w:vAlign w:val="center"/>
            <w:textDirection w:val="lrTb"/>
            <w:noWrap w:val="false"/>
          </w:tcPr>
          <w:p>
            <w:pPr>
              <w:jc w:val="center"/>
              <w:widowControl/>
              <w:rPr>
                <w:rFonts w:ascii="Times New Roman" w:hAnsi="Times New Roman"/>
                <w:b/>
                <w:bCs/>
                <w:color w:val="auto"/>
                <w:sz w:val="20"/>
                <w:szCs w:val="20"/>
                <w:highlight w:val="none"/>
              </w:rPr>
            </w:pPr>
            <w:r>
              <w:rPr>
                <w:rFonts w:hint="eastAsia" w:ascii="宋体" w:hAnsi="宋体"/>
                <w:b/>
                <w:bCs/>
                <w:color w:val="auto"/>
                <w:sz w:val="20"/>
                <w:szCs w:val="20"/>
                <w:highlight w:val="none"/>
              </w:rPr>
              <w:t xml:space="preserve">细目号</w:t>
            </w:r>
            <w:r/>
          </w:p>
        </w:tc>
        <w:tc>
          <w:tcPr>
            <w:shd w:val="clear" w:color="000000" w:fill="ffffff"/>
            <w:tcBorders>
              <w:top w:val="none" w:color="000000" w:sz="4" w:space="0"/>
              <w:left w:val="none" w:color="000000" w:sz="4" w:space="0"/>
              <w:bottom w:val="single" w:color="auto" w:sz="4" w:space="0"/>
              <w:right w:val="single" w:color="auto" w:sz="4" w:space="0"/>
            </w:tcBorders>
            <w:tcW w:w="3039" w:type="dxa"/>
            <w:vAlign w:val="center"/>
            <w:textDirection w:val="lrTb"/>
            <w:noWrap/>
          </w:tcPr>
          <w:p>
            <w:pPr>
              <w:jc w:val="center"/>
              <w:widowControl/>
              <w:rPr>
                <w:rFonts w:ascii="Times New Roman" w:hAnsi="Times New Roman"/>
                <w:b/>
                <w:bCs/>
                <w:color w:val="auto"/>
                <w:sz w:val="20"/>
                <w:szCs w:val="20"/>
                <w:highlight w:val="none"/>
              </w:rPr>
            </w:pPr>
            <w:r>
              <w:rPr>
                <w:rFonts w:hint="eastAsia" w:ascii="宋体" w:hAnsi="宋体"/>
                <w:b/>
                <w:bCs/>
                <w:color w:val="auto"/>
                <w:sz w:val="20"/>
                <w:szCs w:val="20"/>
                <w:highlight w:val="none"/>
              </w:rPr>
              <w:t xml:space="preserve">细</w:t>
            </w:r>
            <w:r>
              <w:rPr>
                <w:rFonts w:ascii="Times New Roman" w:hAnsi="Times New Roman"/>
                <w:b/>
                <w:bCs/>
                <w:color w:val="auto"/>
                <w:sz w:val="20"/>
                <w:szCs w:val="20"/>
                <w:highlight w:val="none"/>
              </w:rPr>
              <w:t xml:space="preserve">   </w:t>
            </w:r>
            <w:r>
              <w:rPr>
                <w:rFonts w:hint="eastAsia" w:ascii="宋体" w:hAnsi="宋体"/>
                <w:b/>
                <w:bCs/>
                <w:color w:val="auto"/>
                <w:sz w:val="20"/>
                <w:szCs w:val="20"/>
                <w:highlight w:val="none"/>
              </w:rPr>
              <w:t xml:space="preserve">目</w:t>
            </w:r>
            <w:r>
              <w:rPr>
                <w:rFonts w:ascii="Times New Roman" w:hAnsi="Times New Roman"/>
                <w:b/>
                <w:bCs/>
                <w:color w:val="auto"/>
                <w:sz w:val="20"/>
                <w:szCs w:val="20"/>
                <w:highlight w:val="none"/>
              </w:rPr>
              <w:t xml:space="preserve">   </w:t>
            </w:r>
            <w:r>
              <w:rPr>
                <w:rFonts w:hint="eastAsia" w:ascii="宋体" w:hAnsi="宋体"/>
                <w:b/>
                <w:bCs/>
                <w:color w:val="auto"/>
                <w:sz w:val="20"/>
                <w:szCs w:val="20"/>
                <w:highlight w:val="none"/>
              </w:rPr>
              <w:t xml:space="preserve">名</w:t>
            </w:r>
            <w:r>
              <w:rPr>
                <w:rFonts w:ascii="Times New Roman" w:hAnsi="Times New Roman"/>
                <w:b/>
                <w:bCs/>
                <w:color w:val="auto"/>
                <w:sz w:val="20"/>
                <w:szCs w:val="20"/>
                <w:highlight w:val="none"/>
              </w:rPr>
              <w:t xml:space="preserve">    </w:t>
            </w:r>
            <w:r>
              <w:rPr>
                <w:rFonts w:hint="eastAsia" w:ascii="宋体" w:hAnsi="宋体"/>
                <w:b/>
                <w:bCs/>
                <w:color w:val="auto"/>
                <w:sz w:val="20"/>
                <w:szCs w:val="20"/>
                <w:highlight w:val="none"/>
              </w:rPr>
              <w:t xml:space="preserve">称</w:t>
            </w:r>
            <w:r/>
          </w:p>
        </w:tc>
        <w:tc>
          <w:tcPr>
            <w:shd w:val="clear" w:color="000000" w:fill="ffffff"/>
            <w:tcBorders>
              <w:top w:val="none" w:color="000000" w:sz="4" w:space="0"/>
              <w:left w:val="none" w:color="000000" w:sz="4" w:space="0"/>
              <w:bottom w:val="single" w:color="auto" w:sz="4" w:space="0"/>
              <w:right w:val="single" w:color="auto" w:sz="4" w:space="0"/>
            </w:tcBorders>
            <w:tcW w:w="873" w:type="dxa"/>
            <w:vAlign w:val="center"/>
            <w:textDirection w:val="lrTb"/>
            <w:noWrap/>
          </w:tcPr>
          <w:p>
            <w:pPr>
              <w:jc w:val="center"/>
              <w:widowControl/>
              <w:rPr>
                <w:rFonts w:ascii="Times New Roman" w:hAnsi="Times New Roman"/>
                <w:b/>
                <w:bCs/>
                <w:color w:val="auto"/>
                <w:sz w:val="20"/>
                <w:szCs w:val="20"/>
                <w:highlight w:val="none"/>
              </w:rPr>
            </w:pPr>
            <w:r>
              <w:rPr>
                <w:rFonts w:hint="eastAsia" w:ascii="宋体" w:hAnsi="宋体"/>
                <w:b/>
                <w:bCs/>
                <w:color w:val="auto"/>
                <w:sz w:val="20"/>
                <w:szCs w:val="20"/>
                <w:highlight w:val="none"/>
              </w:rPr>
              <w:t xml:space="preserve">单位</w:t>
            </w:r>
            <w:r/>
          </w:p>
        </w:tc>
        <w:tc>
          <w:tcPr>
            <w:shd w:val="clear" w:color="000000" w:fill="ffffff"/>
            <w:tcBorders>
              <w:top w:val="none" w:color="000000" w:sz="4" w:space="0"/>
              <w:left w:val="none" w:color="000000" w:sz="4" w:space="0"/>
              <w:bottom w:val="single" w:color="auto" w:sz="4" w:space="0"/>
              <w:right w:val="single" w:color="auto" w:sz="4" w:space="0"/>
            </w:tcBorders>
            <w:tcW w:w="885" w:type="dxa"/>
            <w:vAlign w:val="center"/>
            <w:textDirection w:val="lrTb"/>
            <w:noWrap w:val="false"/>
          </w:tcPr>
          <w:p>
            <w:pPr>
              <w:jc w:val="center"/>
              <w:widowControl/>
              <w:rPr>
                <w:rFonts w:ascii="Times New Roman" w:hAnsi="Times New Roman"/>
                <w:b/>
                <w:bCs/>
                <w:color w:val="auto"/>
                <w:sz w:val="20"/>
                <w:szCs w:val="20"/>
                <w:highlight w:val="none"/>
              </w:rPr>
            </w:pPr>
            <w:r>
              <w:rPr>
                <w:rFonts w:hint="eastAsia" w:ascii="宋体" w:hAnsi="宋体"/>
                <w:b/>
                <w:bCs/>
                <w:color w:val="auto"/>
                <w:sz w:val="20"/>
                <w:szCs w:val="20"/>
                <w:highlight w:val="none"/>
              </w:rPr>
              <w:t xml:space="preserve">数量</w:t>
            </w:r>
            <w:r/>
          </w:p>
        </w:tc>
        <w:tc>
          <w:tcPr>
            <w:shd w:val="clear" w:color="000000" w:fill="ffffff"/>
            <w:tcBorders>
              <w:top w:val="none" w:color="000000" w:sz="4" w:space="0"/>
              <w:left w:val="none" w:color="000000" w:sz="4" w:space="0"/>
              <w:bottom w:val="single" w:color="auto" w:sz="4" w:space="0"/>
              <w:right w:val="single" w:color="auto" w:sz="4" w:space="0"/>
            </w:tcBorders>
            <w:tcW w:w="935" w:type="dxa"/>
            <w:vAlign w:val="center"/>
            <w:textDirection w:val="lrTb"/>
            <w:noWrap/>
          </w:tcPr>
          <w:p>
            <w:pPr>
              <w:jc w:val="center"/>
              <w:widowControl/>
              <w:rPr>
                <w:rFonts w:ascii="Times New Roman" w:hAnsi="Times New Roman"/>
                <w:b/>
                <w:bCs/>
                <w:color w:val="auto"/>
                <w:sz w:val="20"/>
                <w:szCs w:val="20"/>
                <w:highlight w:val="none"/>
              </w:rPr>
            </w:pPr>
            <w:r>
              <w:rPr>
                <w:rFonts w:hint="eastAsia" w:ascii="宋体" w:hAnsi="宋体"/>
                <w:b/>
                <w:bCs/>
                <w:color w:val="auto"/>
                <w:sz w:val="20"/>
                <w:szCs w:val="20"/>
                <w:highlight w:val="none"/>
              </w:rPr>
              <w:t xml:space="preserve">单价</w:t>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tcPr>
          <w:p>
            <w:pPr>
              <w:jc w:val="center"/>
              <w:widowControl/>
              <w:rPr>
                <w:rFonts w:ascii="Times New Roman" w:hAnsi="Times New Roman"/>
                <w:b/>
                <w:bCs/>
                <w:color w:val="auto"/>
                <w:sz w:val="20"/>
                <w:szCs w:val="20"/>
                <w:highlight w:val="none"/>
              </w:rPr>
            </w:pPr>
            <w:r>
              <w:rPr>
                <w:rFonts w:hint="eastAsia" w:ascii="宋体" w:hAnsi="宋体"/>
                <w:b/>
                <w:bCs/>
                <w:color w:val="auto"/>
                <w:sz w:val="20"/>
                <w:szCs w:val="20"/>
                <w:highlight w:val="none"/>
              </w:rPr>
              <w:t xml:space="preserve">合价</w:t>
            </w:r>
            <w:r/>
          </w:p>
        </w:tc>
      </w:tr>
      <w:tr>
        <w:trPr>
          <w:trHeight w:val="501"/>
        </w:trPr>
        <w:tc>
          <w:tcPr>
            <w:tcBorders>
              <w:top w:val="none" w:color="000000" w:sz="4" w:space="0"/>
              <w:left w:val="single" w:color="auto" w:sz="4" w:space="0"/>
              <w:bottom w:val="single" w:color="auto" w:sz="4" w:space="0"/>
              <w:right w:val="single" w:color="auto" w:sz="4" w:space="0"/>
            </w:tcBorders>
            <w:tcW w:w="978"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S122LHD</w:t>
            </w:r>
            <w:r/>
          </w:p>
        </w:tc>
        <w:tc>
          <w:tcPr>
            <w:tcBorders>
              <w:top w:val="none" w:color="000000" w:sz="4" w:space="0"/>
              <w:left w:val="none" w:color="000000" w:sz="4" w:space="0"/>
              <w:bottom w:val="single" w:color="auto" w:sz="4" w:space="0"/>
              <w:right w:val="single" w:color="auto" w:sz="4" w:space="0"/>
            </w:tcBorders>
            <w:tcW w:w="3039" w:type="dxa"/>
            <w:vAlign w:val="center"/>
            <w:textDirection w:val="lrTb"/>
            <w:noWrap w:val="false"/>
          </w:tcPr>
          <w:p>
            <w:pPr>
              <w:jc w:val="left"/>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73"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85"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935"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tc>
      </w:tr>
      <w:tr>
        <w:trPr>
          <w:trHeight w:val="501"/>
        </w:trPr>
        <w:tc>
          <w:tcPr>
            <w:tcBorders>
              <w:top w:val="none" w:color="000000" w:sz="4" w:space="0"/>
              <w:left w:val="single" w:color="auto" w:sz="4" w:space="0"/>
              <w:bottom w:val="single" w:color="auto" w:sz="4" w:space="0"/>
              <w:right w:val="single" w:color="auto" w:sz="4" w:space="0"/>
            </w:tcBorders>
            <w:tcW w:w="978"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-20</w:t>
            </w:r>
            <w:r/>
          </w:p>
        </w:tc>
        <w:tc>
          <w:tcPr>
            <w:tcBorders>
              <w:top w:val="none" w:color="000000" w:sz="4" w:space="0"/>
              <w:left w:val="none" w:color="000000" w:sz="4" w:space="0"/>
              <w:bottom w:val="single" w:color="auto" w:sz="4" w:space="0"/>
              <w:right w:val="single" w:color="auto" w:sz="4" w:space="0"/>
            </w:tcBorders>
            <w:tcW w:w="3039"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梧桐补植服务（杆径</w:t>
            </w:r>
            <w:r>
              <w:rPr>
                <w:rFonts w:ascii="Times New Roman" w:hAnsi="Times New Roman"/>
                <w:color w:val="auto"/>
                <w:sz w:val="20"/>
                <w:szCs w:val="20"/>
                <w:highlight w:val="none"/>
              </w:rPr>
              <w:t xml:space="preserve">:30-40cm</w:t>
            </w:r>
            <w:r>
              <w:rPr>
                <w:rFonts w:hint="eastAsia" w:ascii="宋体" w:hAnsi="宋体" w:cs="宋体"/>
                <w:color w:val="auto"/>
                <w:sz w:val="20"/>
                <w:szCs w:val="20"/>
                <w:highlight w:val="none"/>
              </w:rPr>
              <w:t xml:space="preserve">）</w:t>
            </w:r>
            <w:r/>
          </w:p>
        </w:tc>
        <w:tc>
          <w:tcPr>
            <w:shd w:val="clear" w:color="000000" w:fill="ffffff"/>
            <w:tcBorders>
              <w:top w:val="none" w:color="000000" w:sz="4" w:space="0"/>
              <w:left w:val="none" w:color="000000" w:sz="4" w:space="0"/>
              <w:bottom w:val="single" w:color="auto" w:sz="4" w:space="0"/>
              <w:right w:val="single" w:color="auto" w:sz="4" w:space="0"/>
            </w:tcBorders>
            <w:tcW w:w="873" w:type="dxa"/>
            <w:vAlign w:val="center"/>
            <w:textDirection w:val="lrTb"/>
            <w:noWrap w:val="false"/>
          </w:tcPr>
          <w:p>
            <w:pPr>
              <w:jc w:val="center"/>
              <w:widowControl/>
              <w:rPr>
                <w:rFonts w:ascii="Times New Roman" w:hAnsi="Times New Roman"/>
                <w:color w:val="auto"/>
                <w:sz w:val="20"/>
                <w:szCs w:val="20"/>
                <w:highlight w:val="none"/>
              </w:rPr>
            </w:pPr>
            <w:r>
              <w:rPr>
                <w:rFonts w:hint="eastAsia" w:ascii="宋体" w:hAnsi="宋体"/>
                <w:color w:val="auto"/>
                <w:sz w:val="20"/>
                <w:szCs w:val="20"/>
                <w:highlight w:val="none"/>
              </w:rPr>
              <w:t xml:space="preserve">株</w:t>
            </w:r>
            <w:r/>
          </w:p>
        </w:tc>
        <w:tc>
          <w:tcPr>
            <w:shd w:val="clear" w:color="000000" w:fill="ffffff"/>
            <w:tcBorders>
              <w:top w:val="none" w:color="000000" w:sz="4" w:space="0"/>
              <w:left w:val="none" w:color="000000" w:sz="4" w:space="0"/>
              <w:bottom w:val="single" w:color="auto" w:sz="4" w:space="0"/>
              <w:right w:val="single" w:color="auto" w:sz="4" w:space="0"/>
            </w:tcBorders>
            <w:tcW w:w="885"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t xml:space="preserve">20.00 </w:t>
            </w:r>
            <w:r/>
          </w:p>
        </w:tc>
        <w:tc>
          <w:tcPr>
            <w:shd w:val="clear" w:color="000000" w:fill="ffffff"/>
            <w:tcBorders>
              <w:top w:val="none" w:color="000000" w:sz="4" w:space="0"/>
              <w:left w:val="none" w:color="000000" w:sz="4" w:space="0"/>
              <w:bottom w:val="single" w:color="auto" w:sz="4" w:space="0"/>
              <w:right w:val="single" w:color="auto" w:sz="4" w:space="0"/>
            </w:tcBorders>
            <w:tcW w:w="935"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widowControl/>
              <w:rPr>
                <w:rFonts w:ascii="Times New Roman" w:hAnsi="Times New Roman"/>
                <w:color w:val="auto"/>
                <w:sz w:val="20"/>
                <w:szCs w:val="20"/>
                <w:highlight w:val="none"/>
              </w:rPr>
            </w:pPr>
            <w:r>
              <w:rPr>
                <w:rFonts w:ascii="Times New Roman" w:hAnsi="Times New Roman"/>
                <w:color w:val="auto"/>
                <w:sz w:val="20"/>
                <w:szCs w:val="20"/>
                <w:highlight w:val="none"/>
              </w:rPr>
            </w:r>
            <w:r/>
          </w:p>
        </w:tc>
      </w:tr>
      <w:tr>
        <w:trPr>
          <w:trHeight w:val="501"/>
        </w:trPr>
        <w:tc>
          <w:tcPr>
            <w:gridSpan w:val="3"/>
            <w:shd w:val="clear" w:color="000000" w:fill="ffffff"/>
            <w:tcBorders>
              <w:top w:val="single" w:color="auto" w:sz="4" w:space="0"/>
              <w:left w:val="single" w:color="auto" w:sz="4" w:space="0"/>
              <w:bottom w:val="single" w:color="auto" w:sz="4" w:space="0"/>
              <w:right w:val="none" w:color="000000" w:sz="4" w:space="0"/>
            </w:tcBorders>
            <w:tcW w:w="4890" w:type="dxa"/>
            <w:vAlign w:val="center"/>
            <w:textDirection w:val="lrTb"/>
            <w:noWrap/>
          </w:tcPr>
          <w:p>
            <w:pPr>
              <w:jc w:val="right"/>
              <w:widowControl/>
              <w:rPr>
                <w:rFonts w:ascii="Times New Roman" w:hAnsi="Times New Roman"/>
                <w:b/>
                <w:bCs/>
                <w:color w:val="auto"/>
                <w:sz w:val="20"/>
                <w:szCs w:val="20"/>
                <w:highlight w:val="none"/>
              </w:rPr>
            </w:pPr>
            <w:r>
              <w:rPr>
                <w:rFonts w:ascii="Times New Roman" w:hAnsi="Times New Roman"/>
                <w:b/>
                <w:bCs/>
                <w:color w:val="auto"/>
                <w:sz w:val="20"/>
                <w:szCs w:val="20"/>
                <w:highlight w:val="none"/>
              </w:rPr>
              <w:t xml:space="preserve">600-2</w:t>
            </w:r>
            <w:r>
              <w:rPr>
                <w:rFonts w:hint="eastAsia" w:ascii="宋体" w:hAnsi="宋体"/>
                <w:b/>
                <w:bCs/>
                <w:color w:val="auto"/>
                <w:sz w:val="20"/>
                <w:szCs w:val="20"/>
                <w:highlight w:val="none"/>
              </w:rPr>
              <w:t xml:space="preserve">章小计</w:t>
            </w:r>
            <w:r>
              <w:rPr>
                <w:rFonts w:ascii="Times New Roman" w:hAnsi="Times New Roman"/>
                <w:b/>
                <w:bCs/>
                <w:color w:val="auto"/>
                <w:sz w:val="20"/>
                <w:szCs w:val="20"/>
                <w:highlight w:val="none"/>
              </w:rPr>
              <w:t xml:space="preserve">   </w:t>
            </w:r>
            <w:r>
              <w:rPr>
                <w:rFonts w:hint="eastAsia" w:ascii="宋体" w:hAnsi="宋体"/>
                <w:b/>
                <w:bCs/>
                <w:color w:val="auto"/>
                <w:sz w:val="20"/>
                <w:szCs w:val="20"/>
                <w:highlight w:val="none"/>
              </w:rPr>
              <w:t xml:space="preserve">人民币</w:t>
            </w:r>
            <w:r/>
          </w:p>
        </w:tc>
        <w:tc>
          <w:tcPr>
            <w:gridSpan w:val="2"/>
            <w:shd w:val="clear" w:color="000000" w:fill="ffffff"/>
            <w:tcBorders>
              <w:top w:val="single" w:color="auto" w:sz="4" w:space="0"/>
              <w:left w:val="none" w:color="000000" w:sz="4" w:space="0"/>
              <w:bottom w:val="single" w:color="auto" w:sz="4" w:space="0"/>
              <w:right w:val="none" w:color="000000" w:sz="4" w:space="0"/>
            </w:tcBorders>
            <w:tcW w:w="1820" w:type="dxa"/>
            <w:vAlign w:val="center"/>
            <w:textDirection w:val="lrTb"/>
            <w:noWrap/>
          </w:tcPr>
          <w:p>
            <w:pPr>
              <w:jc w:val="center"/>
              <w:widowControl/>
              <w:rPr>
                <w:rFonts w:ascii="Times New Roman" w:hAnsi="Times New Roman"/>
                <w:b/>
                <w:bCs/>
                <w:color w:val="auto"/>
                <w:sz w:val="20"/>
                <w:szCs w:val="20"/>
                <w:highlight w:val="none"/>
                <w:u w:val="single"/>
              </w:rPr>
            </w:pPr>
            <w:r>
              <w:rPr>
                <w:rFonts w:hint="eastAsia" w:ascii="Times New Roman" w:hAnsi="Times New Roman"/>
                <w:b/>
                <w:bCs/>
                <w:color w:val="auto"/>
                <w:sz w:val="20"/>
                <w:szCs w:val="20"/>
                <w:highlight w:val="none"/>
                <w:u w:val="singl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830" w:type="dxa"/>
            <w:vAlign w:val="center"/>
            <w:textDirection w:val="lrTb"/>
            <w:noWrap/>
          </w:tcPr>
          <w:p>
            <w:pPr>
              <w:jc w:val="left"/>
              <w:widowControl/>
              <w:rPr>
                <w:rFonts w:ascii="Times New Roman" w:hAnsi="Times New Roman"/>
                <w:b/>
                <w:bCs/>
                <w:color w:val="auto"/>
                <w:sz w:val="20"/>
                <w:szCs w:val="20"/>
                <w:highlight w:val="none"/>
              </w:rPr>
            </w:pPr>
            <w:r>
              <w:rPr>
                <w:rFonts w:hint="eastAsia" w:ascii="宋体" w:hAnsi="宋体"/>
                <w:b/>
                <w:bCs/>
                <w:color w:val="auto"/>
                <w:sz w:val="20"/>
                <w:szCs w:val="20"/>
                <w:highlight w:val="none"/>
              </w:rPr>
              <w:t xml:space="preserve">元</w:t>
            </w:r>
            <w:r/>
          </w:p>
        </w:tc>
      </w:tr>
    </w:tbl>
    <w:p>
      <w:pPr>
        <w:pStyle w:val="1138"/>
        <w:ind w:right="105"/>
        <w:spacing w:line="560" w:lineRule="exact"/>
        <w:rPr>
          <w:rFonts w:ascii="仿宋_GB2312" w:eastAsia="仿宋_GB2312"/>
          <w:color w:val="auto"/>
          <w:sz w:val="32"/>
          <w:szCs w:val="32"/>
          <w:highlight w:val="none"/>
        </w:rPr>
      </w:pPr>
      <w:r>
        <w:rPr>
          <w:rFonts w:ascii="仿宋_GB2312" w:eastAsia="仿宋_GB2312"/>
          <w:color w:val="auto"/>
          <w:sz w:val="32"/>
          <w:szCs w:val="32"/>
          <w:highlight w:val="none"/>
        </w:rPr>
      </w:r>
      <w:r/>
    </w:p>
    <w:p>
      <w:pPr>
        <w:pStyle w:val="845"/>
        <w:rPr>
          <w:rFonts w:hint="eastAsia" w:ascii="仿宋_GB2312" w:eastAsia="仿宋_GB2312"/>
          <w:color w:val="auto"/>
          <w:sz w:val="24"/>
          <w:highlight w:val="none"/>
          <w:u w:val="single"/>
        </w:rPr>
      </w:pPr>
      <w:r>
        <w:rPr>
          <w:rFonts w:hint="eastAsia" w:ascii="仿宋_GB2312" w:eastAsia="仿宋_GB2312"/>
          <w:color w:val="auto"/>
          <w:sz w:val="24"/>
          <w:highlight w:val="none"/>
          <w:u w:val="single"/>
        </w:rPr>
      </w:r>
      <w:r/>
    </w:p>
    <w:p>
      <w:pPr>
        <w:pStyle w:val="845"/>
        <w:rPr>
          <w:rFonts w:hint="eastAsia" w:ascii="仿宋_GB2312" w:eastAsia="仿宋_GB2312"/>
          <w:color w:val="auto"/>
          <w:sz w:val="24"/>
          <w:highlight w:val="none"/>
          <w:u w:val="single"/>
        </w:rPr>
      </w:pPr>
      <w:r>
        <w:rPr>
          <w:rFonts w:hint="eastAsia" w:ascii="仿宋_GB2312" w:eastAsia="仿宋_GB2312"/>
          <w:color w:val="auto"/>
          <w:sz w:val="24"/>
          <w:highlight w:val="none"/>
          <w:u w:val="single"/>
        </w:rPr>
      </w:r>
      <w:r/>
    </w:p>
    <w:p>
      <w:pPr>
        <w:pStyle w:val="845"/>
        <w:ind w:left="0" w:firstLine="0"/>
        <w:rPr>
          <w:rFonts w:hint="eastAsia" w:ascii="宋体" w:hAnsi="宋体" w:cs="宋体"/>
          <w:b/>
          <w:color w:val="auto"/>
          <w:spacing w:val="15"/>
          <w:szCs w:val="21"/>
          <w:highlight w:val="none"/>
        </w:rPr>
      </w:pPr>
      <w:r>
        <w:rPr>
          <w:rFonts w:hint="eastAsia" w:ascii="宋体" w:hAnsi="宋体" w:cs="宋体"/>
          <w:b/>
          <w:color w:val="auto"/>
          <w:spacing w:val="15"/>
          <w:szCs w:val="21"/>
          <w:highlight w:val="none"/>
        </w:rPr>
      </w:r>
      <w:r/>
    </w:p>
    <w:p>
      <w:pPr>
        <w:pStyle w:val="806"/>
        <w:rPr>
          <w:rFonts w:hint="eastAsia"/>
          <w:color w:val="auto"/>
        </w:rPr>
      </w:pPr>
      <w:r/>
      <w:bookmarkStart w:id="120" w:name="_Toc17139"/>
      <w:r>
        <w:rPr>
          <w:color w:val="auto"/>
        </w:rPr>
        <w:t xml:space="preserve">第</w:t>
      </w:r>
      <w:r>
        <w:rPr>
          <w:rFonts w:hint="eastAsia"/>
          <w:color w:val="auto"/>
          <w:lang w:val="en-US" w:eastAsia="zh-CN"/>
        </w:rPr>
        <w:t xml:space="preserve">八</w:t>
      </w:r>
      <w:r>
        <w:rPr>
          <w:color w:val="auto"/>
        </w:rPr>
        <w:t xml:space="preserve">章 供应商中标后需要提交核验的资料</w:t>
      </w:r>
      <w:bookmarkEnd w:id="115"/>
      <w:r/>
      <w:bookmarkEnd w:id="120"/>
      <w:r/>
      <w:r/>
    </w:p>
    <w:p>
      <w:pPr>
        <w:pStyle w:val="1090"/>
        <w:ind w:left="-178" w:firstLine="420"/>
        <w:spacing w:before="78" w:line="460" w:lineRule="exact"/>
        <w:rPr>
          <w:rFonts w:hint="eastAsia" w:ascii="宋体" w:hAnsi="宋体" w:eastAsia="宋体"/>
          <w:color w:val="auto"/>
          <w:highlight w:val="none"/>
        </w:rPr>
      </w:pPr>
      <w:r>
        <w:rPr>
          <w:rFonts w:hint="eastAsia" w:ascii="宋体" w:hAnsi="宋体" w:eastAsia="宋体"/>
          <w:color w:val="auto"/>
          <w:highlight w:val="none"/>
        </w:rPr>
        <w:t xml:space="preserve">一、</w:t>
      </w:r>
      <w:r>
        <w:rPr>
          <w:rFonts w:ascii="宋体" w:hAnsi="宋体" w:eastAsia="宋体"/>
          <w:color w:val="auto"/>
          <w:highlight w:val="none"/>
        </w:rPr>
        <w:t xml:space="preserve">具有独立承担民事责任的能力（提供法人或者其他组织的营业执照）；</w:t>
      </w:r>
      <w:r/>
    </w:p>
    <w:p>
      <w:pPr>
        <w:pStyle w:val="1090"/>
        <w:ind w:left="-178" w:firstLine="420"/>
        <w:spacing w:before="78" w:line="460" w:lineRule="exact"/>
        <w:rPr>
          <w:rFonts w:hint="eastAsia" w:ascii="宋体" w:hAnsi="宋体" w:eastAsia="宋体"/>
          <w:color w:val="auto"/>
          <w:highlight w:val="none"/>
        </w:rPr>
      </w:pPr>
      <w:r>
        <w:rPr>
          <w:rFonts w:ascii="宋体" w:hAnsi="宋体" w:eastAsia="宋体"/>
          <w:color w:val="auto"/>
          <w:highlight w:val="none"/>
        </w:rPr>
        <w:t xml:space="preserve">二、具有良好的商业信誉和健全的财务会计制度（提供财务状况报告，或投标截止时间前六个月内银行出具的资信证明，或财政部门认可的政府采购专业担保机构出具的投标担保函）；</w:t>
      </w:r>
      <w:r/>
    </w:p>
    <w:p>
      <w:pPr>
        <w:pStyle w:val="1090"/>
        <w:ind w:left="-178" w:firstLine="420"/>
        <w:spacing w:before="78" w:line="460" w:lineRule="exact"/>
        <w:rPr>
          <w:rFonts w:hint="eastAsia" w:ascii="宋体" w:hAnsi="宋体" w:eastAsia="宋体"/>
          <w:color w:val="auto"/>
          <w:highlight w:val="none"/>
        </w:rPr>
      </w:pPr>
      <w:r>
        <w:rPr>
          <w:rFonts w:ascii="宋体" w:hAnsi="宋体" w:eastAsia="宋体"/>
          <w:color w:val="auto"/>
          <w:highlight w:val="none"/>
        </w:rPr>
        <w:t xml:space="preserve">三、具有履行合同所必需的设备和专业技术能力（供应商根据履行采购项目合同需要，提供履行合同所必需的设备和专业技术能力的证明材料）；</w:t>
      </w:r>
      <w:r/>
    </w:p>
    <w:p>
      <w:pPr>
        <w:pStyle w:val="1090"/>
        <w:ind w:left="-178" w:firstLine="420"/>
        <w:spacing w:before="78" w:line="460" w:lineRule="exact"/>
        <w:rPr>
          <w:rFonts w:hint="eastAsia" w:ascii="宋体" w:hAnsi="宋体" w:eastAsia="宋体"/>
          <w:color w:val="auto"/>
          <w:highlight w:val="none"/>
        </w:rPr>
      </w:pPr>
      <w:r>
        <w:rPr>
          <w:rFonts w:ascii="宋体" w:hAnsi="宋体" w:eastAsia="宋体"/>
          <w:color w:val="auto"/>
          <w:highlight w:val="none"/>
        </w:rPr>
        <w:t xml:space="preserve">四、有依法缴纳税收和社会保障资金的良好记录（提供参加本次政府采购活动前半年内至少一个月缴纳增值税，或营业税，或企业所得税的凭据；并提供缴纳社会保险的凭据（专用收据或社会保险缴纳清单）；</w:t>
      </w:r>
      <w:r/>
    </w:p>
    <w:p>
      <w:pPr>
        <w:pStyle w:val="1090"/>
        <w:ind w:left="-178" w:firstLine="420"/>
        <w:spacing w:before="78" w:line="460" w:lineRule="exact"/>
        <w:rPr>
          <w:rFonts w:hint="eastAsia" w:ascii="宋体" w:hAnsi="宋体" w:eastAsia="宋体"/>
          <w:color w:val="auto"/>
          <w:highlight w:val="none"/>
        </w:rPr>
      </w:pPr>
      <w:r>
        <w:rPr>
          <w:rFonts w:ascii="宋体" w:hAnsi="宋体" w:eastAsia="宋体"/>
          <w:color w:val="auto"/>
          <w:highlight w:val="none"/>
        </w:rPr>
        <w:t xml:space="preserve">五、参加政府采购活动前三年内，在经营活动中没有重大违法记录（提供书面声明或承诺书）</w:t>
      </w:r>
      <w:r>
        <w:rPr>
          <w:rFonts w:hint="eastAsia" w:ascii="宋体" w:hAnsi="宋体" w:eastAsia="宋体"/>
          <w:color w:val="auto"/>
          <w:highlight w:val="none"/>
        </w:rPr>
        <w:t xml:space="preserve">。</w:t>
      </w:r>
      <w:r>
        <w:rPr>
          <w:rFonts w:ascii="宋体" w:hAnsi="宋体" w:eastAsia="宋体"/>
          <w:color w:val="auto"/>
          <w:highlight w:val="none"/>
        </w:rPr>
        <w:br w:type="textWrapping" w:clear="all"/>
      </w:r>
      <w:r>
        <w:rPr>
          <w:rFonts w:ascii="宋体" w:hAnsi="宋体" w:eastAsia="宋体"/>
          <w:color w:val="auto"/>
          <w:highlight w:val="none"/>
        </w:rPr>
        <w:br w:type="textWrapping" w:clear="all"/>
      </w:r>
      <w:r>
        <w:rPr>
          <w:rFonts w:ascii="宋体" w:hAnsi="宋体" w:eastAsia="宋体"/>
          <w:color w:val="auto"/>
          <w:highlight w:val="none"/>
        </w:rPr>
        <w:t xml:space="preserve">注：</w:t>
      </w:r>
      <w:r/>
    </w:p>
    <w:p>
      <w:pPr>
        <w:pStyle w:val="1090"/>
        <w:ind w:left="-178" w:firstLine="420"/>
        <w:spacing w:before="78" w:line="460" w:lineRule="exact"/>
        <w:rPr>
          <w:rFonts w:hint="eastAsia" w:ascii="宋体" w:hAnsi="宋体" w:eastAsia="宋体"/>
          <w:color w:val="auto"/>
          <w:highlight w:val="none"/>
        </w:rPr>
      </w:pPr>
      <w:r>
        <w:rPr>
          <w:rFonts w:hint="eastAsia" w:ascii="宋体" w:hAnsi="宋体" w:eastAsia="宋体"/>
          <w:color w:val="auto"/>
          <w:highlight w:val="none"/>
        </w:rPr>
        <w:t xml:space="preserve">1</w:t>
      </w:r>
      <w:r>
        <w:rPr>
          <w:rFonts w:ascii="宋体" w:hAnsi="宋体" w:eastAsia="宋体"/>
          <w:color w:val="auto"/>
          <w:highlight w:val="none"/>
        </w:rPr>
        <w:t xml:space="preserve">.以上资料如</w:t>
      </w:r>
      <w:r>
        <w:rPr>
          <w:rFonts w:hint="eastAsia" w:ascii="宋体" w:hAnsi="宋体" w:eastAsia="宋体"/>
          <w:color w:val="auto"/>
          <w:highlight w:val="none"/>
        </w:rPr>
        <w:t xml:space="preserve">电子投标</w:t>
      </w:r>
      <w:r>
        <w:rPr>
          <w:rFonts w:ascii="宋体" w:hAnsi="宋体" w:eastAsia="宋体"/>
          <w:color w:val="auto"/>
          <w:highlight w:val="none"/>
        </w:rPr>
        <w:t xml:space="preserve">文件中已提供的无需再提供</w:t>
      </w:r>
      <w:r>
        <w:rPr>
          <w:rFonts w:hint="eastAsia" w:ascii="宋体" w:hAnsi="宋体" w:eastAsia="宋体"/>
          <w:color w:val="auto"/>
          <w:highlight w:val="none"/>
        </w:rPr>
        <w:t xml:space="preserve">。</w:t>
      </w:r>
      <w:r/>
    </w:p>
    <w:p>
      <w:pPr>
        <w:pStyle w:val="1090"/>
        <w:ind w:left="-178" w:firstLine="420"/>
        <w:spacing w:before="78" w:line="460" w:lineRule="exact"/>
        <w:rPr>
          <w:rFonts w:hint="eastAsia" w:ascii="宋体" w:hAnsi="宋体" w:eastAsia="宋体"/>
          <w:color w:val="auto"/>
          <w:highlight w:val="none"/>
        </w:rPr>
      </w:pPr>
      <w:r>
        <w:rPr>
          <w:rFonts w:hint="eastAsia" w:ascii="宋体" w:hAnsi="宋体" w:eastAsia="宋体"/>
          <w:color w:val="auto"/>
          <w:highlight w:val="none"/>
        </w:rPr>
        <w:t xml:space="preserve">2</w:t>
      </w:r>
      <w:r>
        <w:rPr>
          <w:rFonts w:ascii="宋体" w:hAnsi="宋体" w:eastAsia="宋体"/>
          <w:color w:val="auto"/>
          <w:highlight w:val="none"/>
        </w:rPr>
        <w:t xml:space="preserve">.</w:t>
      </w:r>
      <w:r>
        <w:rPr>
          <w:rFonts w:hint="eastAsia" w:ascii="宋体" w:hAnsi="宋体" w:eastAsia="宋体"/>
          <w:color w:val="auto"/>
          <w:highlight w:val="none"/>
        </w:rPr>
        <w:t xml:space="preserve">投标文件（纸质份数）：中标供应商须在领取中标通知书前提供肆份通过专用投标工具软件打印的纸质投标文件并逐页加盖单位公章。</w:t>
      </w:r>
      <w:r/>
    </w:p>
    <w:sectPr>
      <w:footnotePr/>
      <w:endnotePr/>
      <w:type w:val="nextPage"/>
      <w:pgSz w:w="11906" w:h="16838" w:orient="portrait"/>
      <w:pgMar w:top="1417" w:right="1134" w:bottom="1247" w:left="130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方正大标宋简体">
    <w:panose1 w:val="020B0503020202020204"/>
  </w:font>
  <w:font w:name="ˎ̥">
    <w:panose1 w:val="020B0503020202020204"/>
  </w:font>
  <w:font w:name="Tahoma">
    <w:panose1 w:val="020B0604030504040204"/>
  </w:font>
  <w:font w:name="方正小标宋简体">
    <w:panose1 w:val="020B0503020202020204"/>
  </w:font>
  <w:font w:name="Trebuchet MS">
    <w:panose1 w:val="020B0603020202020204"/>
  </w:font>
  <w:font w:name="Wingdings">
    <w:panose1 w:val="05000000000000000000"/>
  </w:font>
  <w:font w:name="Symbol">
    <w:panose1 w:val="05050102010706020507"/>
  </w:font>
  <w:font w:name="Courier New">
    <w:panose1 w:val="02070309020205020404"/>
  </w:font>
  <w:font w:name="Cambria">
    <w:panose1 w:val="02040503050406030204"/>
  </w:font>
  <w:font w:name="Plotter">
    <w:panose1 w:val="020B0503020202020204"/>
  </w:font>
  <w:font w:name="等线">
    <w:panose1 w:val="02010600030101010101"/>
  </w:font>
  <w:font w:name="等线 Light">
    <w:panose1 w:val="02010600030101010101"/>
  </w:font>
  <w:font w:name="仿宋">
    <w:panose1 w:val="02010609060101010101"/>
  </w:font>
  <w:font w:name="黑体">
    <w:panose1 w:val="02010609060101010101"/>
  </w:font>
  <w:font w:name="仿宋_GB2312">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tabs>
        <w:tab w:val="clear" w:pos="4153" w:leader="none"/>
        <w:tab w:val="center" w:pos="4734"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2909570</wp:posOffset>
              </wp:positionH>
              <wp:positionV relativeFrom="paragraph">
                <wp:posOffset>10795</wp:posOffset>
              </wp:positionV>
              <wp:extent cx="192405" cy="147955"/>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92405" cy="147955"/>
                      </a:xfrm>
                      <a:prstGeom prst="rect">
                        <a:avLst/>
                      </a:prstGeom>
                      <a:noFill/>
                      <a:ln>
                        <a:noFill/>
                      </a:ln>
                      <a:effectLst/>
                    </wps:spPr>
                    <wps:txbx>
                      <w:txbxContent>
                        <w:p>
                          <w:pPr>
                            <w:pStyle w:val="1020"/>
                          </w:pPr>
                          <w:r>
                            <w:fldChar w:fldCharType="begin"/>
                          </w:r>
                          <w:r>
                            <w:instrText xml:space="preserve"> PAGE  \* MERGEFORMAT </w:instrText>
                          </w:r>
                          <w:r>
                            <w:fldChar w:fldCharType="separate"/>
                          </w:r>
                          <w:r>
                            <w:t xml:space="preserve">1</w:t>
                          </w:r>
                          <w:r>
                            <w:fldChar w:fldCharType="end"/>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argin-left:229.1pt;mso-position-horizontal:absolute;mso-position-vertical-relative:text;margin-top:0.8pt;mso-position-vertical:absolute;width:15.1pt;height:11.6pt;mso-wrap-distance-left:9.0pt;mso-wrap-distance-top:0.0pt;mso-wrap-distance-right:9.0pt;mso-wrap-distance-bottom:0.0pt;visibility:visible;" filled="f" stroked="f">
              <v:textbox inset="0,0,0,0">
                <w:txbxContent>
                  <w:p>
                    <w:pPr>
                      <w:pStyle w:val="1020"/>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01930" cy="147955"/>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201930" cy="147955"/>
                      </a:xfrm>
                      <a:prstGeom prst="rect">
                        <a:avLst/>
                      </a:prstGeom>
                      <a:noFill/>
                      <a:ln>
                        <a:noFill/>
                      </a:ln>
                      <a:effectLst/>
                    </wps:spPr>
                    <wps:txbx>
                      <w:txbxContent>
                        <w:p>
                          <w:pPr>
                            <w:pStyle w:val="1020"/>
                          </w:pPr>
                          <w:r/>
                          <w:r/>
                        </w:p>
                        <w:p>
                          <w:r/>
                          <w:r/>
                        </w:p>
                      </w:txbxContent>
                    </wps:txbx>
                    <wps:bodyPr wrap="square" lIns="0" tIns="0" rIns="0" bIns="0" upright="1"/>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5.9pt;height:11.6pt;mso-wrap-distance-left:9.0pt;mso-wrap-distance-top:0.0pt;mso-wrap-distance-right:9.0pt;mso-wrap-distance-bottom:0.0pt;visibility:visible;" filled="f" stroked="f">
              <v:textbox inset="0,0,0,0">
                <w:txbxContent>
                  <w:p>
                    <w:pPr>
                      <w:pStyle w:val="1020"/>
                    </w:pPr>
                    <w:r/>
                    <w:r/>
                  </w:p>
                  <w:p>
                    <w:r/>
                    <w:r/>
                  </w:p>
                </w:txbxContent>
              </v:textbox>
            </v:shape>
          </w:pict>
        </mc:Fallback>
      </mc:AlternateContent>
    </w:r>
    <w: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rPr>
        <w:szCs w:val="56"/>
        <w:u w:val="single"/>
      </w:rPr>
      <w:pBdr>
        <w:bottom w:val="none" w:color="000000" w:sz="0" w:space="0"/>
      </w:pBdr>
    </w:pPr>
    <w:r>
      <w:rPr>
        <w:szCs w:val="56"/>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894" w:hanging="440"/>
      </w:pPr>
      <w:rPr>
        <w:rFonts w:hint="eastAsia"/>
      </w:rPr>
    </w:lvl>
    <w:lvl w:ilvl="1">
      <w:start w:val="1"/>
      <w:numFmt w:val="lowerLetter"/>
      <w:isLgl w:val="false"/>
      <w:suff w:val="tab"/>
      <w:lvlText w:val="%2)"/>
      <w:lvlJc w:val="left"/>
      <w:pPr>
        <w:ind w:left="1334" w:hanging="440"/>
      </w:pPr>
    </w:lvl>
    <w:lvl w:ilvl="2">
      <w:start w:val="1"/>
      <w:numFmt w:val="lowerRoman"/>
      <w:isLgl w:val="false"/>
      <w:suff w:val="tab"/>
      <w:lvlText w:val="%3."/>
      <w:lvlJc w:val="right"/>
      <w:pPr>
        <w:ind w:left="1774" w:hanging="440"/>
      </w:pPr>
    </w:lvl>
    <w:lvl w:ilvl="3">
      <w:start w:val="1"/>
      <w:numFmt w:val="decimal"/>
      <w:isLgl w:val="false"/>
      <w:suff w:val="tab"/>
      <w:lvlText w:val="%4."/>
      <w:lvlJc w:val="left"/>
      <w:pPr>
        <w:ind w:left="2214" w:hanging="440"/>
      </w:pPr>
    </w:lvl>
    <w:lvl w:ilvl="4">
      <w:start w:val="1"/>
      <w:numFmt w:val="lowerLetter"/>
      <w:isLgl w:val="false"/>
      <w:suff w:val="tab"/>
      <w:lvlText w:val="%5)"/>
      <w:lvlJc w:val="left"/>
      <w:pPr>
        <w:ind w:left="2654" w:hanging="440"/>
      </w:pPr>
    </w:lvl>
    <w:lvl w:ilvl="5">
      <w:start w:val="1"/>
      <w:numFmt w:val="lowerRoman"/>
      <w:isLgl w:val="false"/>
      <w:suff w:val="tab"/>
      <w:lvlText w:val="%6."/>
      <w:lvlJc w:val="right"/>
      <w:pPr>
        <w:ind w:left="3094" w:hanging="440"/>
      </w:pPr>
    </w:lvl>
    <w:lvl w:ilvl="6">
      <w:start w:val="1"/>
      <w:numFmt w:val="decimal"/>
      <w:isLgl w:val="false"/>
      <w:suff w:val="tab"/>
      <w:lvlText w:val="%7."/>
      <w:lvlJc w:val="left"/>
      <w:pPr>
        <w:ind w:left="3534" w:hanging="440"/>
      </w:pPr>
    </w:lvl>
    <w:lvl w:ilvl="7">
      <w:start w:val="1"/>
      <w:numFmt w:val="lowerLetter"/>
      <w:isLgl w:val="false"/>
      <w:suff w:val="tab"/>
      <w:lvlText w:val="%8)"/>
      <w:lvlJc w:val="left"/>
      <w:pPr>
        <w:ind w:left="3974" w:hanging="440"/>
      </w:pPr>
    </w:lvl>
    <w:lvl w:ilvl="8">
      <w:start w:val="1"/>
      <w:numFmt w:val="lowerRoman"/>
      <w:isLgl w:val="false"/>
      <w:suff w:val="tab"/>
      <w:lvlText w:val="%9."/>
      <w:lvlJc w:val="right"/>
      <w:pPr>
        <w:ind w:left="4414" w:hanging="440"/>
      </w:pPr>
    </w:lvl>
  </w:abstractNum>
  <w:abstractNum w:abstractNumId="2">
    <w:multiLevelType w:val="hybridMultilevel"/>
    <w:lvl w:ilvl="0">
      <w:start w:val="1"/>
      <w:numFmt w:val="decimal"/>
      <w:isLgl w:val="false"/>
      <w:suff w:val="tab"/>
      <w:lvlText w:val="一、"/>
      <w:lvlJc w:val="left"/>
      <w:pPr>
        <w:ind w:left="456" w:hanging="456"/>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
    <w:multiLevelType w:val="hybridMultilevel"/>
    <w:lvl w:ilvl="0">
      <w:start w:val="1"/>
      <w:numFmt w:val="decimal"/>
      <w:isLgl w:val="false"/>
      <w:suff w:val="tab"/>
      <w:lvlText w:val="%1."/>
      <w:lvlJc w:val="left"/>
      <w:pPr>
        <w:ind w:left="920" w:hanging="440"/>
      </w:p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4">
    <w:multiLevelType w:val="hybridMultilevel"/>
    <w:lvl w:ilvl="0">
      <w:start w:val="1"/>
      <w:numFmt w:val="decimal"/>
      <w:isLgl w:val="false"/>
      <w:suff w:val="tab"/>
      <w:lvlText w:val="%1."/>
      <w:lvlJc w:val="left"/>
      <w:pPr>
        <w:ind w:left="920" w:hanging="440"/>
      </w:p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5">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920" w:hanging="440"/>
      </w:p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7">
    <w:multiLevelType w:val="hybridMultilevel"/>
    <w:lvl w:ilvl="0">
      <w:start w:val="1"/>
      <w:numFmt w:val="decimal"/>
      <w:isLgl w:val="false"/>
      <w:suff w:val="tab"/>
      <w:lvlText w:val="（%1）"/>
      <w:lvlJc w:val="left"/>
      <w:pPr>
        <w:ind w:left="894" w:hanging="440"/>
      </w:pPr>
      <w:rPr>
        <w:rFonts w:hint="eastAsia"/>
      </w:rPr>
    </w:lvl>
    <w:lvl w:ilvl="1">
      <w:start w:val="1"/>
      <w:numFmt w:val="lowerLetter"/>
      <w:isLgl w:val="false"/>
      <w:suff w:val="tab"/>
      <w:lvlText w:val="%2)"/>
      <w:lvlJc w:val="left"/>
      <w:pPr>
        <w:ind w:left="1334" w:hanging="440"/>
      </w:pPr>
    </w:lvl>
    <w:lvl w:ilvl="2">
      <w:start w:val="1"/>
      <w:numFmt w:val="lowerRoman"/>
      <w:isLgl w:val="false"/>
      <w:suff w:val="tab"/>
      <w:lvlText w:val="%3."/>
      <w:lvlJc w:val="right"/>
      <w:pPr>
        <w:ind w:left="1774" w:hanging="440"/>
      </w:pPr>
    </w:lvl>
    <w:lvl w:ilvl="3">
      <w:start w:val="1"/>
      <w:numFmt w:val="decimal"/>
      <w:isLgl w:val="false"/>
      <w:suff w:val="tab"/>
      <w:lvlText w:val="%4."/>
      <w:lvlJc w:val="left"/>
      <w:pPr>
        <w:ind w:left="2214" w:hanging="440"/>
      </w:pPr>
    </w:lvl>
    <w:lvl w:ilvl="4">
      <w:start w:val="1"/>
      <w:numFmt w:val="lowerLetter"/>
      <w:isLgl w:val="false"/>
      <w:suff w:val="tab"/>
      <w:lvlText w:val="%5)"/>
      <w:lvlJc w:val="left"/>
      <w:pPr>
        <w:ind w:left="2654" w:hanging="440"/>
      </w:pPr>
    </w:lvl>
    <w:lvl w:ilvl="5">
      <w:start w:val="1"/>
      <w:numFmt w:val="lowerRoman"/>
      <w:isLgl w:val="false"/>
      <w:suff w:val="tab"/>
      <w:lvlText w:val="%6."/>
      <w:lvlJc w:val="right"/>
      <w:pPr>
        <w:ind w:left="3094" w:hanging="440"/>
      </w:pPr>
    </w:lvl>
    <w:lvl w:ilvl="6">
      <w:start w:val="1"/>
      <w:numFmt w:val="decimal"/>
      <w:isLgl w:val="false"/>
      <w:suff w:val="tab"/>
      <w:lvlText w:val="%7."/>
      <w:lvlJc w:val="left"/>
      <w:pPr>
        <w:ind w:left="3534" w:hanging="440"/>
      </w:pPr>
    </w:lvl>
    <w:lvl w:ilvl="7">
      <w:start w:val="1"/>
      <w:numFmt w:val="lowerLetter"/>
      <w:isLgl w:val="false"/>
      <w:suff w:val="tab"/>
      <w:lvlText w:val="%8)"/>
      <w:lvlJc w:val="left"/>
      <w:pPr>
        <w:ind w:left="3974" w:hanging="440"/>
      </w:pPr>
    </w:lvl>
    <w:lvl w:ilvl="8">
      <w:start w:val="1"/>
      <w:numFmt w:val="lowerRoman"/>
      <w:isLgl w:val="false"/>
      <w:suff w:val="tab"/>
      <w:lvlText w:val="%9."/>
      <w:lvlJc w:val="right"/>
      <w:pPr>
        <w:ind w:left="4414" w:hanging="440"/>
      </w:pPr>
    </w:lvl>
  </w:abstractNum>
  <w:abstractNum w:abstractNumId="8">
    <w:multiLevelType w:val="hybridMultilevel"/>
    <w:lvl w:ilvl="0">
      <w:start w:val="1"/>
      <w:numFmt w:val="decimal"/>
      <w:isLgl w:val="false"/>
      <w:suff w:val="tab"/>
      <w:lvlText w:val="（%1）"/>
      <w:lvlJc w:val="left"/>
      <w:pPr>
        <w:ind w:left="894" w:hanging="440"/>
      </w:pPr>
      <w:rPr>
        <w:rFonts w:hint="eastAsia"/>
      </w:rPr>
    </w:lvl>
    <w:lvl w:ilvl="1">
      <w:start w:val="1"/>
      <w:numFmt w:val="lowerLetter"/>
      <w:isLgl w:val="false"/>
      <w:suff w:val="tab"/>
      <w:lvlText w:val="%2)"/>
      <w:lvlJc w:val="left"/>
      <w:pPr>
        <w:ind w:left="1334" w:hanging="440"/>
      </w:pPr>
    </w:lvl>
    <w:lvl w:ilvl="2">
      <w:start w:val="1"/>
      <w:numFmt w:val="lowerRoman"/>
      <w:isLgl w:val="false"/>
      <w:suff w:val="tab"/>
      <w:lvlText w:val="%3."/>
      <w:lvlJc w:val="right"/>
      <w:pPr>
        <w:ind w:left="1774" w:hanging="440"/>
      </w:pPr>
    </w:lvl>
    <w:lvl w:ilvl="3">
      <w:start w:val="1"/>
      <w:numFmt w:val="decimal"/>
      <w:isLgl w:val="false"/>
      <w:suff w:val="tab"/>
      <w:lvlText w:val="%4."/>
      <w:lvlJc w:val="left"/>
      <w:pPr>
        <w:ind w:left="2214" w:hanging="440"/>
      </w:pPr>
    </w:lvl>
    <w:lvl w:ilvl="4">
      <w:start w:val="1"/>
      <w:numFmt w:val="lowerLetter"/>
      <w:isLgl w:val="false"/>
      <w:suff w:val="tab"/>
      <w:lvlText w:val="%5)"/>
      <w:lvlJc w:val="left"/>
      <w:pPr>
        <w:ind w:left="2654" w:hanging="440"/>
      </w:pPr>
    </w:lvl>
    <w:lvl w:ilvl="5">
      <w:start w:val="1"/>
      <w:numFmt w:val="lowerRoman"/>
      <w:isLgl w:val="false"/>
      <w:suff w:val="tab"/>
      <w:lvlText w:val="%6."/>
      <w:lvlJc w:val="right"/>
      <w:pPr>
        <w:ind w:left="3094" w:hanging="440"/>
      </w:pPr>
    </w:lvl>
    <w:lvl w:ilvl="6">
      <w:start w:val="1"/>
      <w:numFmt w:val="decimal"/>
      <w:isLgl w:val="false"/>
      <w:suff w:val="tab"/>
      <w:lvlText w:val="%7."/>
      <w:lvlJc w:val="left"/>
      <w:pPr>
        <w:ind w:left="3534" w:hanging="440"/>
      </w:pPr>
    </w:lvl>
    <w:lvl w:ilvl="7">
      <w:start w:val="1"/>
      <w:numFmt w:val="lowerLetter"/>
      <w:isLgl w:val="false"/>
      <w:suff w:val="tab"/>
      <w:lvlText w:val="%8)"/>
      <w:lvlJc w:val="left"/>
      <w:pPr>
        <w:ind w:left="3974" w:hanging="440"/>
      </w:pPr>
    </w:lvl>
    <w:lvl w:ilvl="8">
      <w:start w:val="1"/>
      <w:numFmt w:val="lowerRoman"/>
      <w:isLgl w:val="false"/>
      <w:suff w:val="tab"/>
      <w:lvlText w:val="%9."/>
      <w:lvlJc w:val="right"/>
      <w:pPr>
        <w:ind w:left="4414" w:hanging="440"/>
      </w:p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920" w:hanging="440"/>
      </w:p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11">
    <w:multiLevelType w:val="hybridMultilevel"/>
    <w:lvl w:ilvl="0">
      <w:start w:val="1"/>
      <w:numFmt w:val="decimal"/>
      <w:isLgl w:val="false"/>
      <w:suff w:val="tab"/>
      <w:lvlText w:val="（%1）"/>
      <w:lvlJc w:val="left"/>
      <w:pPr>
        <w:ind w:left="894" w:hanging="440"/>
      </w:pPr>
      <w:rPr>
        <w:rFonts w:hint="eastAsia"/>
        <w:sz w:val="24"/>
        <w:szCs w:val="24"/>
      </w:rPr>
    </w:lvl>
    <w:lvl w:ilvl="1">
      <w:start w:val="1"/>
      <w:numFmt w:val="lowerLetter"/>
      <w:isLgl w:val="false"/>
      <w:suff w:val="tab"/>
      <w:lvlText w:val="%2)"/>
      <w:lvlJc w:val="left"/>
      <w:pPr>
        <w:ind w:left="1334" w:hanging="440"/>
      </w:pPr>
    </w:lvl>
    <w:lvl w:ilvl="2">
      <w:start w:val="1"/>
      <w:numFmt w:val="lowerRoman"/>
      <w:isLgl w:val="false"/>
      <w:suff w:val="tab"/>
      <w:lvlText w:val="%3."/>
      <w:lvlJc w:val="right"/>
      <w:pPr>
        <w:ind w:left="1774" w:hanging="440"/>
      </w:pPr>
    </w:lvl>
    <w:lvl w:ilvl="3">
      <w:start w:val="1"/>
      <w:numFmt w:val="decimal"/>
      <w:isLgl w:val="false"/>
      <w:suff w:val="tab"/>
      <w:lvlText w:val="%4."/>
      <w:lvlJc w:val="left"/>
      <w:pPr>
        <w:ind w:left="2214" w:hanging="440"/>
      </w:pPr>
    </w:lvl>
    <w:lvl w:ilvl="4">
      <w:start w:val="1"/>
      <w:numFmt w:val="lowerLetter"/>
      <w:isLgl w:val="false"/>
      <w:suff w:val="tab"/>
      <w:lvlText w:val="%5)"/>
      <w:lvlJc w:val="left"/>
      <w:pPr>
        <w:ind w:left="2654" w:hanging="440"/>
      </w:pPr>
    </w:lvl>
    <w:lvl w:ilvl="5">
      <w:start w:val="1"/>
      <w:numFmt w:val="lowerRoman"/>
      <w:isLgl w:val="false"/>
      <w:suff w:val="tab"/>
      <w:lvlText w:val="%6."/>
      <w:lvlJc w:val="right"/>
      <w:pPr>
        <w:ind w:left="3094" w:hanging="440"/>
      </w:pPr>
    </w:lvl>
    <w:lvl w:ilvl="6">
      <w:start w:val="1"/>
      <w:numFmt w:val="decimal"/>
      <w:isLgl w:val="false"/>
      <w:suff w:val="tab"/>
      <w:lvlText w:val="%7."/>
      <w:lvlJc w:val="left"/>
      <w:pPr>
        <w:ind w:left="3534" w:hanging="440"/>
      </w:pPr>
    </w:lvl>
    <w:lvl w:ilvl="7">
      <w:start w:val="1"/>
      <w:numFmt w:val="lowerLetter"/>
      <w:isLgl w:val="false"/>
      <w:suff w:val="tab"/>
      <w:lvlText w:val="%8)"/>
      <w:lvlJc w:val="left"/>
      <w:pPr>
        <w:ind w:left="3974" w:hanging="440"/>
      </w:pPr>
    </w:lvl>
    <w:lvl w:ilvl="8">
      <w:start w:val="1"/>
      <w:numFmt w:val="lowerRoman"/>
      <w:isLgl w:val="false"/>
      <w:suff w:val="tab"/>
      <w:lvlText w:val="%9."/>
      <w:lvlJc w:val="right"/>
      <w:pPr>
        <w:ind w:left="4414" w:hanging="440"/>
      </w:pPr>
    </w:lvl>
  </w:abstractNum>
  <w:abstractNum w:abstractNumId="12">
    <w:multiLevelType w:val="hybridMultilevel"/>
    <w:lvl w:ilvl="0">
      <w:start w:val="1"/>
      <w:numFmt w:val="decimal"/>
      <w:isLgl w:val="false"/>
      <w:suff w:val="tab"/>
      <w:lvlText w:val="%1."/>
      <w:lvlJc w:val="left"/>
      <w:pPr>
        <w:ind w:left="920" w:hanging="440"/>
      </w:p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13">
    <w:multiLevelType w:val="hybridMultilevel"/>
    <w:lvl w:ilvl="0">
      <w:start w:val="1"/>
      <w:numFmt w:val="decimal"/>
      <w:isLgl w:val="false"/>
      <w:suff w:val="tab"/>
      <w:lvlText w:val="%1."/>
      <w:lvlJc w:val="left"/>
      <w:pPr>
        <w:ind w:left="920" w:hanging="440"/>
      </w:p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14">
    <w:multiLevelType w:val="hybridMultilevel"/>
    <w:lvl w:ilvl="0">
      <w:start w:val="1"/>
      <w:numFmt w:val="decimal"/>
      <w:isLgl w:val="false"/>
      <w:suff w:val="tab"/>
      <w:lvlText w:val="%1."/>
      <w:lvlJc w:val="left"/>
      <w:pPr>
        <w:ind w:left="920" w:hanging="440"/>
      </w:p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15">
    <w:multiLevelType w:val="hybridMultilevel"/>
    <w:lvl w:ilvl="0">
      <w:start w:val="1"/>
      <w:numFmt w:val="decimal"/>
      <w:isLgl w:val="false"/>
      <w:suff w:val="tab"/>
      <w:lvlText w:val="%1."/>
      <w:lvlJc w:val="left"/>
      <w:pPr>
        <w:ind w:left="6253" w:hanging="440"/>
      </w:p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16">
    <w:multiLevelType w:val="hybridMultilevel"/>
    <w:lvl w:ilvl="0">
      <w:start w:val="1"/>
      <w:numFmt w:val="decimal"/>
      <w:isLgl w:val="false"/>
      <w:suff w:val="tab"/>
      <w:lvlText w:val="%1."/>
      <w:lvlJc w:val="left"/>
      <w:pPr>
        <w:ind w:left="920" w:hanging="440"/>
      </w:p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17">
    <w:multiLevelType w:val="hybridMultilevel"/>
    <w:lvl w:ilvl="0">
      <w:start w:val="1"/>
      <w:numFmt w:val="decimal"/>
      <w:isLgl w:val="false"/>
      <w:suff w:val="tab"/>
      <w:lvlText w:val="（%1）"/>
      <w:lvlJc w:val="left"/>
      <w:pPr>
        <w:ind w:left="894" w:hanging="440"/>
      </w:pPr>
      <w:rPr>
        <w:rFonts w:hint="eastAsia"/>
      </w:rPr>
    </w:lvl>
    <w:lvl w:ilvl="1">
      <w:start w:val="1"/>
      <w:numFmt w:val="lowerLetter"/>
      <w:isLgl w:val="false"/>
      <w:suff w:val="tab"/>
      <w:lvlText w:val="%2)"/>
      <w:lvlJc w:val="left"/>
      <w:pPr>
        <w:ind w:left="1334" w:hanging="440"/>
      </w:pPr>
    </w:lvl>
    <w:lvl w:ilvl="2">
      <w:start w:val="1"/>
      <w:numFmt w:val="lowerRoman"/>
      <w:isLgl w:val="false"/>
      <w:suff w:val="tab"/>
      <w:lvlText w:val="%3."/>
      <w:lvlJc w:val="right"/>
      <w:pPr>
        <w:ind w:left="1774" w:hanging="440"/>
      </w:pPr>
    </w:lvl>
    <w:lvl w:ilvl="3">
      <w:start w:val="1"/>
      <w:numFmt w:val="decimal"/>
      <w:isLgl w:val="false"/>
      <w:suff w:val="tab"/>
      <w:lvlText w:val="%4."/>
      <w:lvlJc w:val="left"/>
      <w:pPr>
        <w:ind w:left="2214" w:hanging="440"/>
      </w:pPr>
    </w:lvl>
    <w:lvl w:ilvl="4">
      <w:start w:val="1"/>
      <w:numFmt w:val="lowerLetter"/>
      <w:isLgl w:val="false"/>
      <w:suff w:val="tab"/>
      <w:lvlText w:val="%5)"/>
      <w:lvlJc w:val="left"/>
      <w:pPr>
        <w:ind w:left="2654" w:hanging="440"/>
      </w:pPr>
    </w:lvl>
    <w:lvl w:ilvl="5">
      <w:start w:val="1"/>
      <w:numFmt w:val="lowerRoman"/>
      <w:isLgl w:val="false"/>
      <w:suff w:val="tab"/>
      <w:lvlText w:val="%6."/>
      <w:lvlJc w:val="right"/>
      <w:pPr>
        <w:ind w:left="3094" w:hanging="440"/>
      </w:pPr>
    </w:lvl>
    <w:lvl w:ilvl="6">
      <w:start w:val="1"/>
      <w:numFmt w:val="decimal"/>
      <w:isLgl w:val="false"/>
      <w:suff w:val="tab"/>
      <w:lvlText w:val="%7."/>
      <w:lvlJc w:val="left"/>
      <w:pPr>
        <w:ind w:left="3534" w:hanging="440"/>
      </w:pPr>
    </w:lvl>
    <w:lvl w:ilvl="7">
      <w:start w:val="1"/>
      <w:numFmt w:val="lowerLetter"/>
      <w:isLgl w:val="false"/>
      <w:suff w:val="tab"/>
      <w:lvlText w:val="%8)"/>
      <w:lvlJc w:val="left"/>
      <w:pPr>
        <w:ind w:left="3974" w:hanging="440"/>
      </w:pPr>
    </w:lvl>
    <w:lvl w:ilvl="8">
      <w:start w:val="1"/>
      <w:numFmt w:val="lowerRoman"/>
      <w:isLgl w:val="false"/>
      <w:suff w:val="tab"/>
      <w:lvlText w:val="%9."/>
      <w:lvlJc w:val="right"/>
      <w:pPr>
        <w:ind w:left="4414" w:hanging="440"/>
      </w:pPr>
    </w:lvl>
  </w:abstractNum>
  <w:abstractNum w:abstractNumId="18">
    <w:multiLevelType w:val="hybridMultilevel"/>
    <w:lvl w:ilvl="0">
      <w:start w:val="1"/>
      <w:numFmt w:val="decimal"/>
      <w:isLgl w:val="false"/>
      <w:suff w:val="tab"/>
      <w:lvlText w:val="%1."/>
      <w:lvlJc w:val="left"/>
      <w:pPr>
        <w:ind w:left="920" w:hanging="440"/>
      </w:p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19">
    <w:multiLevelType w:val="hybridMultilevel"/>
    <w:lvl w:ilvl="0">
      <w:start w:val="1"/>
      <w:numFmt w:val="decimal"/>
      <w:isLgl w:val="false"/>
      <w:suff w:val="tab"/>
      <w:lvlText w:val="%1."/>
      <w:lvlJc w:val="left"/>
      <w:pPr>
        <w:ind w:left="920" w:hanging="440"/>
      </w:p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20">
    <w:multiLevelType w:val="hybridMultilevel"/>
    <w:lvl w:ilvl="0">
      <w:start w:val="1"/>
      <w:numFmt w:val="decimal"/>
      <w:isLgl w:val="false"/>
      <w:suff w:val="tab"/>
      <w:lvlText w:val="（%1）"/>
      <w:lvlJc w:val="left"/>
      <w:pPr>
        <w:ind w:left="894" w:hanging="440"/>
      </w:pPr>
      <w:rPr>
        <w:rFonts w:hint="eastAsia"/>
      </w:rPr>
    </w:lvl>
    <w:lvl w:ilvl="1">
      <w:start w:val="1"/>
      <w:numFmt w:val="lowerLetter"/>
      <w:isLgl w:val="false"/>
      <w:suff w:val="tab"/>
      <w:lvlText w:val="%2)"/>
      <w:lvlJc w:val="left"/>
      <w:pPr>
        <w:ind w:left="1334" w:hanging="440"/>
      </w:pPr>
    </w:lvl>
    <w:lvl w:ilvl="2">
      <w:start w:val="1"/>
      <w:numFmt w:val="lowerRoman"/>
      <w:isLgl w:val="false"/>
      <w:suff w:val="tab"/>
      <w:lvlText w:val="%3."/>
      <w:lvlJc w:val="right"/>
      <w:pPr>
        <w:ind w:left="1774" w:hanging="440"/>
      </w:pPr>
    </w:lvl>
    <w:lvl w:ilvl="3">
      <w:start w:val="1"/>
      <w:numFmt w:val="decimal"/>
      <w:isLgl w:val="false"/>
      <w:suff w:val="tab"/>
      <w:lvlText w:val="%4."/>
      <w:lvlJc w:val="left"/>
      <w:pPr>
        <w:ind w:left="2214" w:hanging="440"/>
      </w:pPr>
    </w:lvl>
    <w:lvl w:ilvl="4">
      <w:start w:val="1"/>
      <w:numFmt w:val="lowerLetter"/>
      <w:isLgl w:val="false"/>
      <w:suff w:val="tab"/>
      <w:lvlText w:val="%5)"/>
      <w:lvlJc w:val="left"/>
      <w:pPr>
        <w:ind w:left="2654" w:hanging="440"/>
      </w:pPr>
    </w:lvl>
    <w:lvl w:ilvl="5">
      <w:start w:val="1"/>
      <w:numFmt w:val="lowerRoman"/>
      <w:isLgl w:val="false"/>
      <w:suff w:val="tab"/>
      <w:lvlText w:val="%6."/>
      <w:lvlJc w:val="right"/>
      <w:pPr>
        <w:ind w:left="3094" w:hanging="440"/>
      </w:pPr>
    </w:lvl>
    <w:lvl w:ilvl="6">
      <w:start w:val="1"/>
      <w:numFmt w:val="decimal"/>
      <w:isLgl w:val="false"/>
      <w:suff w:val="tab"/>
      <w:lvlText w:val="%7."/>
      <w:lvlJc w:val="left"/>
      <w:pPr>
        <w:ind w:left="3534" w:hanging="440"/>
      </w:pPr>
    </w:lvl>
    <w:lvl w:ilvl="7">
      <w:start w:val="1"/>
      <w:numFmt w:val="lowerLetter"/>
      <w:isLgl w:val="false"/>
      <w:suff w:val="tab"/>
      <w:lvlText w:val="%8)"/>
      <w:lvlJc w:val="left"/>
      <w:pPr>
        <w:ind w:left="3974" w:hanging="440"/>
      </w:pPr>
    </w:lvl>
    <w:lvl w:ilvl="8">
      <w:start w:val="1"/>
      <w:numFmt w:val="lowerRoman"/>
      <w:isLgl w:val="false"/>
      <w:suff w:val="tab"/>
      <w:lvlText w:val="%9."/>
      <w:lvlJc w:val="right"/>
      <w:pPr>
        <w:ind w:left="4414" w:hanging="440"/>
      </w:pPr>
    </w:lvl>
  </w:abstractNum>
  <w:abstractNum w:abstractNumId="21">
    <w:multiLevelType w:val="hybridMultilevel"/>
    <w:lvl w:ilvl="0">
      <w:start w:val="1"/>
      <w:numFmt w:val="decimal"/>
      <w:isLgl w:val="false"/>
      <w:suff w:val="tab"/>
      <w:lvlText w:val="%1."/>
      <w:lvlJc w:val="left"/>
      <w:pPr>
        <w:ind w:left="920" w:hanging="440"/>
      </w:p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22">
    <w:multiLevelType w:val="hybridMultilevel"/>
    <w:lvl w:ilvl="0">
      <w:start w:val="1"/>
      <w:numFmt w:val="decimal"/>
      <w:isLgl w:val="false"/>
      <w:suff w:val="tab"/>
      <w:lvlText w:val="（%1）"/>
      <w:lvlJc w:val="left"/>
      <w:pPr>
        <w:ind w:left="894" w:hanging="440"/>
      </w:pPr>
      <w:rPr>
        <w:rFonts w:hint="eastAsia"/>
        <w:sz w:val="24"/>
        <w:szCs w:val="24"/>
      </w:rPr>
    </w:lvl>
    <w:lvl w:ilvl="1">
      <w:start w:val="1"/>
      <w:numFmt w:val="lowerLetter"/>
      <w:isLgl w:val="false"/>
      <w:suff w:val="tab"/>
      <w:lvlText w:val="%2)"/>
      <w:lvlJc w:val="left"/>
      <w:pPr>
        <w:ind w:left="1334" w:hanging="440"/>
      </w:pPr>
    </w:lvl>
    <w:lvl w:ilvl="2">
      <w:start w:val="1"/>
      <w:numFmt w:val="lowerRoman"/>
      <w:isLgl w:val="false"/>
      <w:suff w:val="tab"/>
      <w:lvlText w:val="%3."/>
      <w:lvlJc w:val="right"/>
      <w:pPr>
        <w:ind w:left="1774" w:hanging="440"/>
      </w:pPr>
    </w:lvl>
    <w:lvl w:ilvl="3">
      <w:start w:val="1"/>
      <w:numFmt w:val="decimal"/>
      <w:isLgl w:val="false"/>
      <w:suff w:val="tab"/>
      <w:lvlText w:val="%4."/>
      <w:lvlJc w:val="left"/>
      <w:pPr>
        <w:ind w:left="2214" w:hanging="440"/>
      </w:pPr>
    </w:lvl>
    <w:lvl w:ilvl="4">
      <w:start w:val="1"/>
      <w:numFmt w:val="lowerLetter"/>
      <w:isLgl w:val="false"/>
      <w:suff w:val="tab"/>
      <w:lvlText w:val="%5)"/>
      <w:lvlJc w:val="left"/>
      <w:pPr>
        <w:ind w:left="2654" w:hanging="440"/>
      </w:pPr>
    </w:lvl>
    <w:lvl w:ilvl="5">
      <w:start w:val="1"/>
      <w:numFmt w:val="lowerRoman"/>
      <w:isLgl w:val="false"/>
      <w:suff w:val="tab"/>
      <w:lvlText w:val="%6."/>
      <w:lvlJc w:val="right"/>
      <w:pPr>
        <w:ind w:left="3094" w:hanging="440"/>
      </w:pPr>
    </w:lvl>
    <w:lvl w:ilvl="6">
      <w:start w:val="1"/>
      <w:numFmt w:val="decimal"/>
      <w:isLgl w:val="false"/>
      <w:suff w:val="tab"/>
      <w:lvlText w:val="%7."/>
      <w:lvlJc w:val="left"/>
      <w:pPr>
        <w:ind w:left="3534" w:hanging="440"/>
      </w:pPr>
    </w:lvl>
    <w:lvl w:ilvl="7">
      <w:start w:val="1"/>
      <w:numFmt w:val="lowerLetter"/>
      <w:isLgl w:val="false"/>
      <w:suff w:val="tab"/>
      <w:lvlText w:val="%8)"/>
      <w:lvlJc w:val="left"/>
      <w:pPr>
        <w:ind w:left="3974" w:hanging="440"/>
      </w:pPr>
    </w:lvl>
    <w:lvl w:ilvl="8">
      <w:start w:val="1"/>
      <w:numFmt w:val="lowerRoman"/>
      <w:isLgl w:val="false"/>
      <w:suff w:val="tab"/>
      <w:lvlText w:val="%9."/>
      <w:lvlJc w:val="right"/>
      <w:pPr>
        <w:ind w:left="4414" w:hanging="440"/>
      </w:pPr>
    </w:lvl>
  </w:abstractNum>
  <w:abstractNum w:abstractNumId="23">
    <w:multiLevelType w:val="hybridMultilevel"/>
    <w:lvl w:ilvl="0">
      <w:start w:val="1"/>
      <w:numFmt w:val="decimal"/>
      <w:isLgl w:val="false"/>
      <w:suff w:val="tab"/>
      <w:lvlText w:val="%1."/>
      <w:lvlJc w:val="left"/>
      <w:pPr>
        <w:ind w:left="920" w:hanging="440"/>
      </w:p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24">
    <w:multiLevelType w:val="hybridMultilevel"/>
    <w:lvl w:ilvl="0">
      <w:start w:val="1"/>
      <w:numFmt w:val="decimal"/>
      <w:isLgl w:val="false"/>
      <w:suff w:val="tab"/>
      <w:lvlText w:val="%1."/>
      <w:lvlJc w:val="left"/>
      <w:pPr>
        <w:ind w:left="920" w:hanging="440"/>
      </w:pPr>
      <w:rPr>
        <w:color w:val="auto"/>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num w:numId="1">
    <w:abstractNumId w:val="5"/>
  </w:num>
  <w:num w:numId="2">
    <w:abstractNumId w:val="2"/>
  </w:num>
  <w:num w:numId="3">
    <w:abstractNumId w:val="0"/>
  </w:num>
  <w:num w:numId="4">
    <w:abstractNumId w:val="3"/>
  </w:num>
  <w:num w:numId="5">
    <w:abstractNumId w:val="15"/>
  </w:num>
  <w:num w:numId="6">
    <w:abstractNumId w:val="19"/>
  </w:num>
  <w:num w:numId="7">
    <w:abstractNumId w:val="21"/>
  </w:num>
  <w:num w:numId="8">
    <w:abstractNumId w:val="20"/>
  </w:num>
  <w:num w:numId="9">
    <w:abstractNumId w:val="11"/>
  </w:num>
  <w:num w:numId="10">
    <w:abstractNumId w:val="24"/>
  </w:num>
  <w:num w:numId="11">
    <w:abstractNumId w:val="12"/>
  </w:num>
  <w:num w:numId="12">
    <w:abstractNumId w:val="10"/>
  </w:num>
  <w:num w:numId="13">
    <w:abstractNumId w:val="13"/>
  </w:num>
  <w:num w:numId="14">
    <w:abstractNumId w:val="7"/>
  </w:num>
  <w:num w:numId="15">
    <w:abstractNumId w:val="22"/>
  </w:num>
  <w:num w:numId="16">
    <w:abstractNumId w:val="16"/>
  </w:num>
  <w:num w:numId="17">
    <w:abstractNumId w:val="6"/>
  </w:num>
  <w:num w:numId="18">
    <w:abstractNumId w:val="4"/>
  </w:num>
  <w:num w:numId="19">
    <w:abstractNumId w:val="14"/>
  </w:num>
  <w:num w:numId="20">
    <w:abstractNumId w:val="23"/>
  </w:num>
  <w:num w:numId="21">
    <w:abstractNumId w:val="8"/>
  </w:num>
  <w:num w:numId="22">
    <w:abstractNumId w:val="1"/>
  </w:num>
  <w:num w:numId="23">
    <w:abstractNumId w:val="18"/>
  </w:num>
  <w:num w:numId="24">
    <w:abstractNumId w:val="17"/>
  </w:num>
  <w:num w:numId="2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8">
    <w:name w:val="Heading 1 Char"/>
    <w:basedOn w:val="815"/>
    <w:link w:val="806"/>
    <w:uiPriority w:val="9"/>
    <w:rPr>
      <w:rFonts w:ascii="Arial" w:hAnsi="Arial" w:eastAsia="Arial" w:cs="Arial"/>
      <w:sz w:val="40"/>
      <w:szCs w:val="40"/>
    </w:rPr>
  </w:style>
  <w:style w:type="character" w:styleId="769">
    <w:name w:val="Heading 2 Char"/>
    <w:basedOn w:val="815"/>
    <w:link w:val="807"/>
    <w:uiPriority w:val="9"/>
    <w:rPr>
      <w:rFonts w:ascii="Arial" w:hAnsi="Arial" w:eastAsia="Arial" w:cs="Arial"/>
      <w:sz w:val="34"/>
    </w:rPr>
  </w:style>
  <w:style w:type="character" w:styleId="770">
    <w:name w:val="Heading 3 Char"/>
    <w:basedOn w:val="815"/>
    <w:link w:val="808"/>
    <w:uiPriority w:val="9"/>
    <w:rPr>
      <w:rFonts w:ascii="Arial" w:hAnsi="Arial" w:eastAsia="Arial" w:cs="Arial"/>
      <w:sz w:val="30"/>
      <w:szCs w:val="30"/>
    </w:rPr>
  </w:style>
  <w:style w:type="character" w:styleId="771">
    <w:name w:val="Heading 4 Char"/>
    <w:basedOn w:val="815"/>
    <w:link w:val="809"/>
    <w:uiPriority w:val="9"/>
    <w:rPr>
      <w:rFonts w:ascii="Arial" w:hAnsi="Arial" w:eastAsia="Arial" w:cs="Arial"/>
      <w:b/>
      <w:bCs/>
      <w:sz w:val="26"/>
      <w:szCs w:val="26"/>
    </w:rPr>
  </w:style>
  <w:style w:type="character" w:styleId="772">
    <w:name w:val="Heading 5 Char"/>
    <w:basedOn w:val="815"/>
    <w:link w:val="810"/>
    <w:uiPriority w:val="9"/>
    <w:rPr>
      <w:rFonts w:ascii="Arial" w:hAnsi="Arial" w:eastAsia="Arial" w:cs="Arial"/>
      <w:b/>
      <w:bCs/>
      <w:sz w:val="24"/>
      <w:szCs w:val="24"/>
    </w:rPr>
  </w:style>
  <w:style w:type="character" w:styleId="773">
    <w:name w:val="Heading 6 Char"/>
    <w:basedOn w:val="815"/>
    <w:link w:val="811"/>
    <w:uiPriority w:val="9"/>
    <w:rPr>
      <w:rFonts w:ascii="Arial" w:hAnsi="Arial" w:eastAsia="Arial" w:cs="Arial"/>
      <w:b/>
      <w:bCs/>
      <w:sz w:val="22"/>
      <w:szCs w:val="22"/>
    </w:rPr>
  </w:style>
  <w:style w:type="character" w:styleId="774">
    <w:name w:val="Heading 7 Char"/>
    <w:basedOn w:val="815"/>
    <w:link w:val="812"/>
    <w:uiPriority w:val="9"/>
    <w:rPr>
      <w:rFonts w:ascii="Arial" w:hAnsi="Arial" w:eastAsia="Arial" w:cs="Arial"/>
      <w:b/>
      <w:bCs/>
      <w:i/>
      <w:iCs/>
      <w:sz w:val="22"/>
      <w:szCs w:val="22"/>
    </w:rPr>
  </w:style>
  <w:style w:type="character" w:styleId="775">
    <w:name w:val="Heading 8 Char"/>
    <w:basedOn w:val="815"/>
    <w:link w:val="813"/>
    <w:uiPriority w:val="9"/>
    <w:rPr>
      <w:rFonts w:ascii="Arial" w:hAnsi="Arial" w:eastAsia="Arial" w:cs="Arial"/>
      <w:i/>
      <w:iCs/>
      <w:sz w:val="22"/>
      <w:szCs w:val="22"/>
    </w:rPr>
  </w:style>
  <w:style w:type="character" w:styleId="776">
    <w:name w:val="Heading 9 Char"/>
    <w:basedOn w:val="815"/>
    <w:link w:val="814"/>
    <w:uiPriority w:val="9"/>
    <w:rPr>
      <w:rFonts w:ascii="Arial" w:hAnsi="Arial" w:eastAsia="Arial" w:cs="Arial"/>
      <w:i/>
      <w:iCs/>
      <w:sz w:val="21"/>
      <w:szCs w:val="21"/>
    </w:rPr>
  </w:style>
  <w:style w:type="character" w:styleId="777">
    <w:name w:val="Title Char"/>
    <w:basedOn w:val="815"/>
    <w:link w:val="839"/>
    <w:uiPriority w:val="10"/>
    <w:rPr>
      <w:sz w:val="48"/>
      <w:szCs w:val="48"/>
    </w:rPr>
  </w:style>
  <w:style w:type="character" w:styleId="778">
    <w:name w:val="Subtitle Char"/>
    <w:basedOn w:val="815"/>
    <w:link w:val="832"/>
    <w:uiPriority w:val="11"/>
    <w:rPr>
      <w:sz w:val="24"/>
      <w:szCs w:val="24"/>
    </w:rPr>
  </w:style>
  <w:style w:type="character" w:styleId="779">
    <w:name w:val="Quote Char"/>
    <w:link w:val="860"/>
    <w:uiPriority w:val="29"/>
    <w:rPr>
      <w:i/>
    </w:rPr>
  </w:style>
  <w:style w:type="character" w:styleId="780">
    <w:name w:val="Intense Quote Char"/>
    <w:link w:val="862"/>
    <w:uiPriority w:val="30"/>
    <w:rPr>
      <w:i/>
    </w:rPr>
  </w:style>
  <w:style w:type="character" w:styleId="781">
    <w:name w:val="Header Char"/>
    <w:basedOn w:val="815"/>
    <w:link w:val="829"/>
    <w:uiPriority w:val="99"/>
  </w:style>
  <w:style w:type="character" w:styleId="782">
    <w:name w:val="Caption Char"/>
    <w:basedOn w:val="821"/>
    <w:link w:val="828"/>
    <w:uiPriority w:val="99"/>
  </w:style>
  <w:style w:type="table" w:styleId="783">
    <w:name w:val="Plain Table 1"/>
    <w:basedOn w:val="81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4">
    <w:name w:val="Plain Table 2"/>
    <w:basedOn w:val="81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5">
    <w:name w:val="Plain Table 3"/>
    <w:basedOn w:val="8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6">
    <w:name w:val="Plain Table 4"/>
    <w:basedOn w:val="8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7">
    <w:name w:val="Plain Table 5"/>
    <w:basedOn w:val="8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8">
    <w:name w:val="Grid Table 1 Light"/>
    <w:basedOn w:val="81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9">
    <w:name w:val="Grid Table 2"/>
    <w:basedOn w:val="81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0">
    <w:name w:val="Grid Table 3"/>
    <w:basedOn w:val="81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4"/>
    <w:basedOn w:val="81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2">
    <w:name w:val="Grid Table 5 Dark"/>
    <w:basedOn w:val="8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3">
    <w:name w:val="Grid Table 6 Colorful"/>
    <w:basedOn w:val="81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4">
    <w:name w:val="Grid Table 7 Colorful"/>
    <w:basedOn w:val="81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5">
    <w:name w:val="List Table 1 Light"/>
    <w:basedOn w:val="81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6">
    <w:name w:val="List Table 2"/>
    <w:basedOn w:val="81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7">
    <w:name w:val="List Table 3"/>
    <w:basedOn w:val="81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4"/>
    <w:basedOn w:val="81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9">
    <w:name w:val="List Table 5 Dark"/>
    <w:basedOn w:val="81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6 Colorful"/>
    <w:basedOn w:val="81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1">
    <w:name w:val="List Table 7 Colorful"/>
    <w:basedOn w:val="81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02">
    <w:name w:val="Footnote Text Char"/>
    <w:link w:val="833"/>
    <w:uiPriority w:val="99"/>
    <w:rPr>
      <w:sz w:val="18"/>
    </w:rPr>
  </w:style>
  <w:style w:type="character" w:styleId="803">
    <w:name w:val="Endnote Text Char"/>
    <w:link w:val="827"/>
    <w:uiPriority w:val="99"/>
    <w:rPr>
      <w:sz w:val="20"/>
    </w:rPr>
  </w:style>
  <w:style w:type="paragraph" w:styleId="804">
    <w:name w:val="TOC Heading"/>
    <w:uiPriority w:val="39"/>
    <w:unhideWhenUsed/>
  </w:style>
  <w:style w:type="paragraph" w:styleId="805" w:default="1">
    <w:name w:val="Normal"/>
    <w:next w:val="817"/>
    <w:uiPriority w:val="0"/>
    <w:qFormat/>
    <w:pPr>
      <w:jc w:val="both"/>
      <w:widowControl w:val="off"/>
    </w:pPr>
    <w:rPr>
      <w:rFonts w:ascii="Calibri" w:hAnsi="Calibri" w:eastAsia="宋体" w:cs="Times New Roman"/>
      <w:sz w:val="21"/>
      <w:szCs w:val="22"/>
      <w:lang w:val="en-US" w:eastAsia="zh-CN" w:bidi="ar-SA"/>
    </w:rPr>
  </w:style>
  <w:style w:type="paragraph" w:styleId="806">
    <w:name w:val="Heading 1"/>
    <w:basedOn w:val="805"/>
    <w:next w:val="805"/>
    <w:link w:val="847"/>
    <w:uiPriority w:val="9"/>
    <w:qFormat/>
    <w:pPr>
      <w:jc w:val="center"/>
      <w:keepLines/>
      <w:keepNext/>
      <w:spacing w:before="480" w:after="200"/>
      <w:outlineLvl w:val="0"/>
    </w:pPr>
    <w:rPr>
      <w:rFonts w:ascii="Arial" w:hAnsi="Arial" w:eastAsia="宋体" w:cs="Arial"/>
      <w:b/>
      <w:sz w:val="36"/>
      <w:szCs w:val="40"/>
    </w:rPr>
  </w:style>
  <w:style w:type="paragraph" w:styleId="807">
    <w:name w:val="Heading 2"/>
    <w:basedOn w:val="805"/>
    <w:next w:val="805"/>
    <w:link w:val="848"/>
    <w:uiPriority w:val="9"/>
    <w:unhideWhenUsed/>
    <w:qFormat/>
    <w:pPr>
      <w:jc w:val="left"/>
      <w:keepLines/>
      <w:keepNext/>
      <w:spacing w:before="360" w:after="200"/>
      <w:outlineLvl w:val="1"/>
    </w:pPr>
    <w:rPr>
      <w:rFonts w:ascii="Arial" w:hAnsi="Arial" w:eastAsia="宋体" w:cs="Arial"/>
      <w:b/>
      <w:sz w:val="28"/>
    </w:rPr>
  </w:style>
  <w:style w:type="paragraph" w:styleId="808">
    <w:name w:val="Heading 3"/>
    <w:basedOn w:val="805"/>
    <w:next w:val="805"/>
    <w:link w:val="849"/>
    <w:uiPriority w:val="9"/>
    <w:unhideWhenUsed/>
    <w:qFormat/>
    <w:pPr>
      <w:keepLines/>
      <w:keepNext/>
      <w:spacing w:before="320" w:after="200"/>
      <w:outlineLvl w:val="2"/>
    </w:pPr>
    <w:rPr>
      <w:rFonts w:ascii="Arial" w:hAnsi="Arial" w:eastAsia="Arial" w:cs="Arial"/>
      <w:sz w:val="30"/>
      <w:szCs w:val="30"/>
    </w:rPr>
  </w:style>
  <w:style w:type="paragraph" w:styleId="809">
    <w:name w:val="Heading 4"/>
    <w:basedOn w:val="805"/>
    <w:next w:val="805"/>
    <w:link w:val="850"/>
    <w:uiPriority w:val="9"/>
    <w:unhideWhenUsed/>
    <w:qFormat/>
    <w:pPr>
      <w:keepLines/>
      <w:keepNext/>
      <w:spacing w:before="320" w:after="200"/>
      <w:outlineLvl w:val="3"/>
    </w:pPr>
    <w:rPr>
      <w:rFonts w:ascii="Arial" w:hAnsi="Arial" w:eastAsia="Arial" w:cs="Arial"/>
      <w:b/>
      <w:bCs/>
      <w:sz w:val="26"/>
      <w:szCs w:val="26"/>
    </w:rPr>
  </w:style>
  <w:style w:type="paragraph" w:styleId="810">
    <w:name w:val="Heading 5"/>
    <w:basedOn w:val="805"/>
    <w:next w:val="805"/>
    <w:link w:val="851"/>
    <w:uiPriority w:val="9"/>
    <w:unhideWhenUsed/>
    <w:qFormat/>
    <w:pPr>
      <w:keepLines/>
      <w:keepNext/>
      <w:spacing w:before="320" w:after="200"/>
      <w:outlineLvl w:val="4"/>
    </w:pPr>
    <w:rPr>
      <w:rFonts w:ascii="Arial" w:hAnsi="Arial" w:eastAsia="Arial" w:cs="Arial"/>
      <w:b/>
      <w:bCs/>
      <w:sz w:val="24"/>
      <w:szCs w:val="24"/>
    </w:rPr>
  </w:style>
  <w:style w:type="paragraph" w:styleId="811">
    <w:name w:val="Heading 6"/>
    <w:basedOn w:val="805"/>
    <w:next w:val="805"/>
    <w:link w:val="852"/>
    <w:uiPriority w:val="9"/>
    <w:unhideWhenUsed/>
    <w:qFormat/>
    <w:pPr>
      <w:keepLines/>
      <w:keepNext/>
      <w:spacing w:before="320" w:after="200"/>
      <w:outlineLvl w:val="5"/>
    </w:pPr>
    <w:rPr>
      <w:rFonts w:ascii="Arial" w:hAnsi="Arial" w:eastAsia="Arial" w:cs="Arial"/>
      <w:b/>
      <w:bCs/>
      <w:sz w:val="22"/>
    </w:rPr>
  </w:style>
  <w:style w:type="paragraph" w:styleId="812">
    <w:name w:val="Heading 7"/>
    <w:basedOn w:val="805"/>
    <w:next w:val="805"/>
    <w:link w:val="853"/>
    <w:uiPriority w:val="9"/>
    <w:unhideWhenUsed/>
    <w:qFormat/>
    <w:pPr>
      <w:keepLines/>
      <w:keepNext/>
      <w:spacing w:before="320" w:after="200"/>
      <w:outlineLvl w:val="6"/>
    </w:pPr>
    <w:rPr>
      <w:rFonts w:ascii="Arial" w:hAnsi="Arial" w:eastAsia="Arial" w:cs="Arial"/>
      <w:b/>
      <w:bCs/>
      <w:i/>
      <w:iCs/>
      <w:sz w:val="22"/>
    </w:rPr>
  </w:style>
  <w:style w:type="paragraph" w:styleId="813">
    <w:name w:val="Heading 8"/>
    <w:basedOn w:val="805"/>
    <w:next w:val="805"/>
    <w:link w:val="854"/>
    <w:uiPriority w:val="9"/>
    <w:unhideWhenUsed/>
    <w:qFormat/>
    <w:pPr>
      <w:keepLines/>
      <w:keepNext/>
      <w:spacing w:before="320" w:after="200"/>
      <w:outlineLvl w:val="7"/>
    </w:pPr>
    <w:rPr>
      <w:rFonts w:ascii="Arial" w:hAnsi="Arial" w:eastAsia="Arial" w:cs="Arial"/>
      <w:i/>
      <w:iCs/>
      <w:sz w:val="22"/>
    </w:rPr>
  </w:style>
  <w:style w:type="paragraph" w:styleId="814">
    <w:name w:val="Heading 9"/>
    <w:basedOn w:val="805"/>
    <w:next w:val="805"/>
    <w:link w:val="855"/>
    <w:uiPriority w:val="9"/>
    <w:unhideWhenUsed/>
    <w:qFormat/>
    <w:pPr>
      <w:keepLines/>
      <w:keepNext/>
      <w:spacing w:before="320" w:after="200"/>
      <w:outlineLvl w:val="8"/>
    </w:pPr>
    <w:rPr>
      <w:rFonts w:ascii="Arial" w:hAnsi="Arial" w:eastAsia="Arial" w:cs="Arial"/>
      <w:i/>
      <w:iCs/>
      <w:szCs w:val="21"/>
    </w:rPr>
  </w:style>
  <w:style w:type="character" w:styleId="815" w:default="1">
    <w:name w:val="Default Paragraph Font"/>
    <w:uiPriority w:val="1"/>
    <w:semiHidden/>
    <w:unhideWhenUsed/>
    <w:qFormat/>
  </w:style>
  <w:style w:type="table" w:styleId="816" w:default="1">
    <w:name w:val="Normal Table"/>
    <w:uiPriority w:val="99"/>
    <w:semiHidden/>
    <w:unhideWhenUsed/>
    <w:qFormat/>
    <w:tblPr>
      <w:tblCellMar>
        <w:left w:w="108" w:type="dxa"/>
        <w:top w:w="0" w:type="dxa"/>
        <w:right w:w="108" w:type="dxa"/>
        <w:bottom w:w="0" w:type="dxa"/>
      </w:tblCellMar>
    </w:tblPr>
  </w:style>
  <w:style w:type="paragraph" w:styleId="817" w:customStyle="1">
    <w:name w:val="正文首行缩进 21"/>
    <w:basedOn w:val="818"/>
    <w:next w:val="805"/>
    <w:uiPriority w:val="0"/>
    <w:qFormat/>
    <w:pPr>
      <w:ind w:firstLine="420"/>
      <w:spacing w:line="360" w:lineRule="auto"/>
    </w:pPr>
    <w:rPr>
      <w:rFonts w:ascii="宋体" w:hAnsi="宋体" w:eastAsia="宋体"/>
      <w:sz w:val="21"/>
      <w:szCs w:val="20"/>
    </w:rPr>
  </w:style>
  <w:style w:type="paragraph" w:styleId="818" w:customStyle="1">
    <w:name w:val="正文文本缩进11"/>
    <w:basedOn w:val="805"/>
    <w:next w:val="819"/>
    <w:uiPriority w:val="0"/>
    <w:qFormat/>
    <w:pPr>
      <w:ind w:firstLine="225"/>
    </w:pPr>
    <w:rPr>
      <w:rFonts w:ascii="仿宋_GB2312" w:eastAsia="仿宋_GB2312"/>
      <w:sz w:val="32"/>
    </w:rPr>
  </w:style>
  <w:style w:type="paragraph" w:styleId="819" w:customStyle="1">
    <w:name w:val="寄信人地址1"/>
    <w:basedOn w:val="805"/>
    <w:uiPriority w:val="0"/>
    <w:qFormat/>
    <w:rPr>
      <w:rFonts w:ascii="Arial" w:hAnsi="Arial" w:eastAsia="宋体" w:cs="宋体"/>
    </w:rPr>
  </w:style>
  <w:style w:type="paragraph" w:styleId="820">
    <w:name w:val="toc 7"/>
    <w:basedOn w:val="805"/>
    <w:next w:val="805"/>
    <w:uiPriority w:val="39"/>
    <w:unhideWhenUsed/>
    <w:qFormat/>
    <w:pPr>
      <w:ind w:left="1701"/>
      <w:spacing w:after="57"/>
    </w:pPr>
  </w:style>
  <w:style w:type="paragraph" w:styleId="821">
    <w:name w:val="Caption"/>
    <w:basedOn w:val="805"/>
    <w:next w:val="805"/>
    <w:uiPriority w:val="35"/>
    <w:semiHidden/>
    <w:unhideWhenUsed/>
    <w:qFormat/>
    <w:pPr>
      <w:spacing w:line="276" w:lineRule="auto"/>
    </w:pPr>
    <w:rPr>
      <w:b/>
      <w:bCs/>
      <w:color w:val="4f81bd"/>
      <w:sz w:val="18"/>
      <w:szCs w:val="18"/>
    </w:rPr>
  </w:style>
  <w:style w:type="paragraph" w:styleId="822">
    <w:name w:val="annotation text"/>
    <w:basedOn w:val="805"/>
    <w:uiPriority w:val="99"/>
    <w:semiHidden/>
    <w:unhideWhenUsed/>
    <w:qFormat/>
    <w:pPr>
      <w:jc w:val="left"/>
    </w:pPr>
  </w:style>
  <w:style w:type="paragraph" w:styleId="823">
    <w:name w:val="Body Text"/>
    <w:basedOn w:val="805"/>
    <w:uiPriority w:val="0"/>
    <w:semiHidden/>
    <w:qFormat/>
    <w:pPr>
      <w:jc w:val="left"/>
      <w:widowControl/>
    </w:pPr>
    <w:rPr>
      <w:rFonts w:ascii="宋体" w:hAnsi="宋体" w:cs="宋体"/>
      <w:color w:val="000000"/>
      <w:sz w:val="28"/>
      <w:szCs w:val="28"/>
      <w:lang w:eastAsia="en-US"/>
    </w:rPr>
  </w:style>
  <w:style w:type="paragraph" w:styleId="824">
    <w:name w:val="toc 5"/>
    <w:basedOn w:val="805"/>
    <w:next w:val="805"/>
    <w:uiPriority w:val="39"/>
    <w:unhideWhenUsed/>
    <w:qFormat/>
    <w:pPr>
      <w:ind w:left="1134"/>
      <w:spacing w:after="57"/>
    </w:pPr>
  </w:style>
  <w:style w:type="paragraph" w:styleId="825">
    <w:name w:val="toc 3"/>
    <w:basedOn w:val="805"/>
    <w:next w:val="805"/>
    <w:uiPriority w:val="39"/>
    <w:unhideWhenUsed/>
    <w:qFormat/>
    <w:pPr>
      <w:ind w:left="420"/>
      <w:jc w:val="left"/>
    </w:pPr>
    <w:rPr>
      <w:rFonts w:ascii="等线" w:hAnsi="Plotter" w:eastAsia="等线"/>
      <w:i/>
      <w:iCs/>
      <w:sz w:val="20"/>
      <w:szCs w:val="20"/>
    </w:rPr>
  </w:style>
  <w:style w:type="paragraph" w:styleId="826">
    <w:name w:val="toc 8"/>
    <w:basedOn w:val="805"/>
    <w:next w:val="805"/>
    <w:uiPriority w:val="39"/>
    <w:unhideWhenUsed/>
    <w:qFormat/>
    <w:pPr>
      <w:ind w:left="1984"/>
      <w:spacing w:after="57"/>
    </w:pPr>
  </w:style>
  <w:style w:type="paragraph" w:styleId="827">
    <w:name w:val="endnote text"/>
    <w:basedOn w:val="805"/>
    <w:link w:val="993"/>
    <w:uiPriority w:val="99"/>
    <w:semiHidden/>
    <w:unhideWhenUsed/>
    <w:qFormat/>
    <w:rPr>
      <w:sz w:val="20"/>
    </w:rPr>
  </w:style>
  <w:style w:type="paragraph" w:styleId="828">
    <w:name w:val="Footer"/>
    <w:basedOn w:val="805"/>
    <w:link w:val="866"/>
    <w:uiPriority w:val="99"/>
    <w:unhideWhenUsed/>
    <w:qFormat/>
    <w:pPr>
      <w:tabs>
        <w:tab w:val="center" w:pos="7143" w:leader="none"/>
        <w:tab w:val="right" w:pos="14287" w:leader="none"/>
      </w:tabs>
    </w:pPr>
  </w:style>
  <w:style w:type="paragraph" w:styleId="829">
    <w:name w:val="Header"/>
    <w:basedOn w:val="805"/>
    <w:link w:val="864"/>
    <w:uiPriority w:val="99"/>
    <w:unhideWhenUsed/>
    <w:qFormat/>
    <w:pPr>
      <w:tabs>
        <w:tab w:val="center" w:pos="7143" w:leader="none"/>
        <w:tab w:val="right" w:pos="14287" w:leader="none"/>
      </w:tabs>
    </w:pPr>
  </w:style>
  <w:style w:type="paragraph" w:styleId="830">
    <w:name w:val="toc 1"/>
    <w:basedOn w:val="805"/>
    <w:next w:val="805"/>
    <w:uiPriority w:val="39"/>
    <w:qFormat/>
    <w:pPr>
      <w:tabs>
        <w:tab w:val="right" w:pos="8456" w:leader="dot"/>
      </w:tabs>
    </w:pPr>
    <w:rPr>
      <w:rFonts w:ascii="宋体" w:hAnsi="宋体"/>
    </w:rPr>
  </w:style>
  <w:style w:type="paragraph" w:styleId="831">
    <w:name w:val="toc 4"/>
    <w:basedOn w:val="805"/>
    <w:next w:val="805"/>
    <w:uiPriority w:val="39"/>
    <w:unhideWhenUsed/>
    <w:qFormat/>
    <w:pPr>
      <w:ind w:left="850"/>
      <w:spacing w:after="57"/>
    </w:pPr>
  </w:style>
  <w:style w:type="paragraph" w:styleId="832">
    <w:name w:val="Subtitle"/>
    <w:basedOn w:val="805"/>
    <w:next w:val="805"/>
    <w:link w:val="859"/>
    <w:uiPriority w:val="11"/>
    <w:qFormat/>
    <w:pPr>
      <w:spacing w:before="200" w:after="200"/>
    </w:pPr>
    <w:rPr>
      <w:sz w:val="24"/>
      <w:szCs w:val="24"/>
    </w:rPr>
  </w:style>
  <w:style w:type="paragraph" w:styleId="833">
    <w:name w:val="footnote text"/>
    <w:basedOn w:val="805"/>
    <w:link w:val="992"/>
    <w:uiPriority w:val="99"/>
    <w:semiHidden/>
    <w:unhideWhenUsed/>
    <w:qFormat/>
    <w:pPr>
      <w:spacing w:after="40"/>
    </w:pPr>
    <w:rPr>
      <w:sz w:val="18"/>
    </w:rPr>
  </w:style>
  <w:style w:type="paragraph" w:styleId="834">
    <w:name w:val="toc 6"/>
    <w:basedOn w:val="805"/>
    <w:next w:val="805"/>
    <w:uiPriority w:val="39"/>
    <w:unhideWhenUsed/>
    <w:qFormat/>
    <w:pPr>
      <w:ind w:left="1417"/>
      <w:spacing w:after="57"/>
    </w:pPr>
  </w:style>
  <w:style w:type="paragraph" w:styleId="835">
    <w:name w:val="table of figures"/>
    <w:basedOn w:val="805"/>
    <w:next w:val="805"/>
    <w:uiPriority w:val="99"/>
    <w:unhideWhenUsed/>
    <w:qFormat/>
  </w:style>
  <w:style w:type="paragraph" w:styleId="836">
    <w:name w:val="toc 2"/>
    <w:basedOn w:val="805"/>
    <w:next w:val="805"/>
    <w:uiPriority w:val="39"/>
    <w:qFormat/>
    <w:pPr>
      <w:ind w:left="420"/>
    </w:pPr>
    <w:rPr>
      <w:rFonts w:ascii="Plotter" w:hAnsi="Plotter" w:eastAsia="微软雅黑"/>
    </w:rPr>
  </w:style>
  <w:style w:type="paragraph" w:styleId="837">
    <w:name w:val="toc 9"/>
    <w:basedOn w:val="805"/>
    <w:next w:val="805"/>
    <w:uiPriority w:val="39"/>
    <w:unhideWhenUsed/>
    <w:qFormat/>
    <w:pPr>
      <w:ind w:left="2268"/>
      <w:spacing w:after="57"/>
    </w:pPr>
  </w:style>
  <w:style w:type="paragraph" w:styleId="838">
    <w:name w:val="Normal (Web)"/>
    <w:basedOn w:val="805"/>
    <w:uiPriority w:val="99"/>
    <w:qFormat/>
    <w:pPr>
      <w:jc w:val="left"/>
    </w:pPr>
    <w:rPr>
      <w:rFonts w:ascii="Plotter" w:hAnsi="Plotter" w:eastAsia="微软雅黑"/>
      <w:sz w:val="24"/>
    </w:rPr>
  </w:style>
  <w:style w:type="paragraph" w:styleId="839">
    <w:name w:val="Title"/>
    <w:basedOn w:val="805"/>
    <w:next w:val="805"/>
    <w:link w:val="858"/>
    <w:uiPriority w:val="10"/>
    <w:qFormat/>
    <w:pPr>
      <w:contextualSpacing/>
      <w:spacing w:before="300" w:after="200"/>
    </w:pPr>
    <w:rPr>
      <w:sz w:val="48"/>
      <w:szCs w:val="48"/>
    </w:rPr>
  </w:style>
  <w:style w:type="table" w:styleId="84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1">
    <w:name w:val="endnote reference"/>
    <w:uiPriority w:val="99"/>
    <w:semiHidden/>
    <w:unhideWhenUsed/>
    <w:qFormat/>
    <w:rPr>
      <w:vertAlign w:val="superscript"/>
    </w:rPr>
  </w:style>
  <w:style w:type="character" w:styleId="842">
    <w:name w:val="Hyperlink"/>
    <w:uiPriority w:val="99"/>
    <w:unhideWhenUsed/>
    <w:qFormat/>
    <w:rPr>
      <w:color w:val="0000ff"/>
      <w:u w:val="single"/>
    </w:rPr>
  </w:style>
  <w:style w:type="character" w:styleId="843">
    <w:name w:val="annotation reference"/>
    <w:basedOn w:val="815"/>
    <w:uiPriority w:val="99"/>
    <w:semiHidden/>
    <w:unhideWhenUsed/>
    <w:qFormat/>
    <w:rPr>
      <w:sz w:val="21"/>
      <w:szCs w:val="21"/>
    </w:rPr>
  </w:style>
  <w:style w:type="character" w:styleId="844">
    <w:name w:val="footnote reference"/>
    <w:uiPriority w:val="99"/>
    <w:unhideWhenUsed/>
    <w:qFormat/>
    <w:rPr>
      <w:vertAlign w:val="superscript"/>
    </w:rPr>
  </w:style>
  <w:style w:type="paragraph" w:styleId="845" w:customStyle="1">
    <w:name w:val="首行缩进"/>
    <w:basedOn w:val="805"/>
    <w:uiPriority w:val="0"/>
    <w:qFormat/>
    <w:pPr>
      <w:ind w:firstLine="480"/>
      <w:jc w:val="left"/>
      <w:spacing w:line="360" w:lineRule="auto"/>
    </w:pPr>
    <w:rPr>
      <w:rFonts w:ascii="宋体" w:hAnsi="宋体" w:cs="宋体"/>
      <w:sz w:val="24"/>
      <w:szCs w:val="24"/>
    </w:rPr>
  </w:style>
  <w:style w:type="paragraph" w:styleId="846" w:customStyle="1">
    <w:name w:val="索引 41"/>
    <w:basedOn w:val="805"/>
    <w:next w:val="805"/>
    <w:uiPriority w:val="0"/>
    <w:semiHidden/>
    <w:qFormat/>
    <w:pPr>
      <w:ind w:left="1260"/>
    </w:pPr>
    <w:rPr>
      <w:rFonts w:eastAsia="Calibri" w:cs="宋体"/>
      <w:sz w:val="20"/>
      <w:lang w:val="zh-CN"/>
    </w:rPr>
  </w:style>
  <w:style w:type="character" w:styleId="847" w:customStyle="1">
    <w:name w:val="标题 1 字符1"/>
    <w:link w:val="806"/>
    <w:uiPriority w:val="9"/>
    <w:qFormat/>
    <w:rPr>
      <w:rFonts w:ascii="Arial" w:hAnsi="Arial" w:eastAsia="宋体" w:cs="Arial"/>
      <w:b/>
      <w:sz w:val="36"/>
      <w:szCs w:val="40"/>
    </w:rPr>
  </w:style>
  <w:style w:type="character" w:styleId="848" w:customStyle="1">
    <w:name w:val="标题 2 字符1"/>
    <w:link w:val="807"/>
    <w:uiPriority w:val="9"/>
    <w:qFormat/>
    <w:rPr>
      <w:rFonts w:ascii="Arial" w:hAnsi="Arial" w:eastAsia="宋体" w:cs="Arial"/>
      <w:b/>
      <w:sz w:val="28"/>
    </w:rPr>
  </w:style>
  <w:style w:type="character" w:styleId="849" w:customStyle="1">
    <w:name w:val="标题 3 字符1"/>
    <w:link w:val="808"/>
    <w:uiPriority w:val="9"/>
    <w:qFormat/>
    <w:rPr>
      <w:rFonts w:ascii="Arial" w:hAnsi="Arial" w:eastAsia="Arial" w:cs="Arial"/>
      <w:sz w:val="30"/>
      <w:szCs w:val="30"/>
    </w:rPr>
  </w:style>
  <w:style w:type="character" w:styleId="850" w:customStyle="1">
    <w:name w:val="标题 4 字符"/>
    <w:link w:val="809"/>
    <w:uiPriority w:val="9"/>
    <w:qFormat/>
    <w:rPr>
      <w:rFonts w:ascii="Arial" w:hAnsi="Arial" w:eastAsia="Arial" w:cs="Arial"/>
      <w:b/>
      <w:bCs/>
      <w:sz w:val="26"/>
      <w:szCs w:val="26"/>
    </w:rPr>
  </w:style>
  <w:style w:type="character" w:styleId="851" w:customStyle="1">
    <w:name w:val="标题 5 字符"/>
    <w:link w:val="810"/>
    <w:uiPriority w:val="9"/>
    <w:qFormat/>
    <w:rPr>
      <w:rFonts w:ascii="Arial" w:hAnsi="Arial" w:eastAsia="Arial" w:cs="Arial"/>
      <w:b/>
      <w:bCs/>
      <w:sz w:val="24"/>
      <w:szCs w:val="24"/>
    </w:rPr>
  </w:style>
  <w:style w:type="character" w:styleId="852" w:customStyle="1">
    <w:name w:val="标题 6 字符"/>
    <w:link w:val="811"/>
    <w:uiPriority w:val="9"/>
    <w:qFormat/>
    <w:rPr>
      <w:rFonts w:ascii="Arial" w:hAnsi="Arial" w:eastAsia="Arial" w:cs="Arial"/>
      <w:b/>
      <w:bCs/>
      <w:sz w:val="22"/>
      <w:szCs w:val="22"/>
    </w:rPr>
  </w:style>
  <w:style w:type="character" w:styleId="853" w:customStyle="1">
    <w:name w:val="标题 7 字符"/>
    <w:link w:val="812"/>
    <w:uiPriority w:val="9"/>
    <w:qFormat/>
    <w:rPr>
      <w:rFonts w:ascii="Arial" w:hAnsi="Arial" w:eastAsia="Arial" w:cs="Arial"/>
      <w:b/>
      <w:bCs/>
      <w:i/>
      <w:iCs/>
      <w:sz w:val="22"/>
      <w:szCs w:val="22"/>
    </w:rPr>
  </w:style>
  <w:style w:type="character" w:styleId="854" w:customStyle="1">
    <w:name w:val="标题 8 字符"/>
    <w:link w:val="813"/>
    <w:uiPriority w:val="9"/>
    <w:qFormat/>
    <w:rPr>
      <w:rFonts w:ascii="Arial" w:hAnsi="Arial" w:eastAsia="Arial" w:cs="Arial"/>
      <w:i/>
      <w:iCs/>
      <w:sz w:val="22"/>
      <w:szCs w:val="22"/>
    </w:rPr>
  </w:style>
  <w:style w:type="character" w:styleId="855" w:customStyle="1">
    <w:name w:val="标题 9 字符"/>
    <w:link w:val="814"/>
    <w:uiPriority w:val="9"/>
    <w:qFormat/>
    <w:rPr>
      <w:rFonts w:ascii="Arial" w:hAnsi="Arial" w:eastAsia="Arial" w:cs="Arial"/>
      <w:i/>
      <w:iCs/>
      <w:sz w:val="21"/>
      <w:szCs w:val="21"/>
    </w:rPr>
  </w:style>
  <w:style w:type="paragraph" w:styleId="856">
    <w:name w:val="List Paragraph"/>
    <w:basedOn w:val="805"/>
    <w:uiPriority w:val="34"/>
    <w:qFormat/>
    <w:pPr>
      <w:contextualSpacing/>
      <w:ind w:left="720"/>
    </w:pPr>
  </w:style>
  <w:style w:type="paragraph" w:styleId="857">
    <w:name w:val="No Spacing"/>
    <w:uiPriority w:val="1"/>
    <w:qFormat/>
    <w:rPr>
      <w:rFonts w:ascii="Times New Roman" w:hAnsi="Times New Roman" w:eastAsia="宋体" w:cs="Times New Roman"/>
      <w:lang w:val="en-US" w:eastAsia="zh-CN" w:bidi="ar-SA"/>
    </w:rPr>
  </w:style>
  <w:style w:type="character" w:styleId="858" w:customStyle="1">
    <w:name w:val="标题 字符1"/>
    <w:link w:val="839"/>
    <w:uiPriority w:val="10"/>
    <w:qFormat/>
    <w:rPr>
      <w:sz w:val="48"/>
      <w:szCs w:val="48"/>
    </w:rPr>
  </w:style>
  <w:style w:type="character" w:styleId="859" w:customStyle="1">
    <w:name w:val="副标题 字符1"/>
    <w:link w:val="832"/>
    <w:uiPriority w:val="11"/>
    <w:qFormat/>
    <w:rPr>
      <w:sz w:val="24"/>
      <w:szCs w:val="24"/>
    </w:rPr>
  </w:style>
  <w:style w:type="paragraph" w:styleId="860">
    <w:name w:val="Quote"/>
    <w:basedOn w:val="805"/>
    <w:next w:val="805"/>
    <w:link w:val="861"/>
    <w:uiPriority w:val="29"/>
    <w:qFormat/>
    <w:pPr>
      <w:ind w:left="720" w:right="720"/>
    </w:pPr>
    <w:rPr>
      <w:i/>
    </w:rPr>
  </w:style>
  <w:style w:type="character" w:styleId="861" w:customStyle="1">
    <w:name w:val="引用 字符"/>
    <w:link w:val="860"/>
    <w:uiPriority w:val="29"/>
    <w:qFormat/>
    <w:rPr>
      <w:i/>
    </w:rPr>
  </w:style>
  <w:style w:type="paragraph" w:styleId="862">
    <w:name w:val="Intense Quote"/>
    <w:basedOn w:val="805"/>
    <w:next w:val="805"/>
    <w:link w:val="86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3" w:customStyle="1">
    <w:name w:val="明显引用 字符"/>
    <w:link w:val="862"/>
    <w:uiPriority w:val="30"/>
    <w:qFormat/>
    <w:rPr>
      <w:i/>
    </w:rPr>
  </w:style>
  <w:style w:type="character" w:styleId="864" w:customStyle="1">
    <w:name w:val="页眉 字符1"/>
    <w:link w:val="829"/>
    <w:uiPriority w:val="99"/>
    <w:qFormat/>
  </w:style>
  <w:style w:type="character" w:styleId="865" w:customStyle="1">
    <w:name w:val="Footer Char"/>
    <w:uiPriority w:val="99"/>
    <w:qFormat/>
  </w:style>
  <w:style w:type="character" w:styleId="866" w:customStyle="1">
    <w:name w:val="页脚 字符1"/>
    <w:link w:val="828"/>
    <w:uiPriority w:val="99"/>
    <w:qFormat/>
  </w:style>
  <w:style w:type="table" w:styleId="867"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68"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69"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70" w:customStyle="1">
    <w:name w:val="无格式表格 31"/>
    <w:uiPriority w:val="99"/>
    <w:qFormat/>
    <w:tblPr>
      <w:tblCellMar>
        <w:left w:w="0" w:type="dxa"/>
        <w:top w:w="0" w:type="dxa"/>
        <w:right w:w="0" w:type="dxa"/>
        <w:bottom w:w="0" w:type="dxa"/>
      </w:tblCellMar>
    </w:tblPr>
  </w:style>
  <w:style w:type="table" w:styleId="871" w:customStyle="1">
    <w:name w:val="无格式表格 41"/>
    <w:uiPriority w:val="99"/>
    <w:qFormat/>
    <w:tblPr>
      <w:tblCellMar>
        <w:left w:w="0" w:type="dxa"/>
        <w:top w:w="0" w:type="dxa"/>
        <w:right w:w="0" w:type="dxa"/>
        <w:bottom w:w="0" w:type="dxa"/>
      </w:tblCellMar>
    </w:tblPr>
  </w:style>
  <w:style w:type="table" w:styleId="872" w:customStyle="1">
    <w:name w:val="无格式表格 51"/>
    <w:uiPriority w:val="99"/>
    <w:qFormat/>
    <w:tblPr>
      <w:tblCellMar>
        <w:left w:w="0" w:type="dxa"/>
        <w:top w:w="0" w:type="dxa"/>
        <w:right w:w="0" w:type="dxa"/>
        <w:bottom w:w="0" w:type="dxa"/>
      </w:tblCellMar>
    </w:tblPr>
  </w:style>
  <w:style w:type="table" w:styleId="873"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74"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75"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76"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77"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78"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79"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80"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81"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82"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3"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4"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5"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86"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87"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88"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89"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0"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1"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2"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93"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94"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95"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96"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97"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98"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99"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00"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01"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2"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3"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4"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5"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6"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7"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8"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09"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10"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1"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2"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3"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14"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15"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16"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17"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8"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9"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0"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21"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22" w:customStyle="1">
    <w:name w:val="清单表 1 浅色1"/>
    <w:uiPriority w:val="99"/>
    <w:qFormat/>
    <w:tblPr>
      <w:tblCellMar>
        <w:left w:w="0" w:type="dxa"/>
        <w:top w:w="0" w:type="dxa"/>
        <w:right w:w="0" w:type="dxa"/>
        <w:bottom w:w="0" w:type="dxa"/>
      </w:tblCellMar>
    </w:tblPr>
  </w:style>
  <w:style w:type="table" w:styleId="923" w:customStyle="1">
    <w:name w:val="List Table 1 Light - Accent 1"/>
    <w:uiPriority w:val="99"/>
    <w:qFormat/>
    <w:tblPr>
      <w:tblCellMar>
        <w:left w:w="0" w:type="dxa"/>
        <w:top w:w="0" w:type="dxa"/>
        <w:right w:w="0" w:type="dxa"/>
        <w:bottom w:w="0" w:type="dxa"/>
      </w:tblCellMar>
    </w:tblPr>
  </w:style>
  <w:style w:type="table" w:styleId="924" w:customStyle="1">
    <w:name w:val="List Table 1 Light - Accent 2"/>
    <w:uiPriority w:val="99"/>
    <w:qFormat/>
    <w:tblPr>
      <w:tblCellMar>
        <w:left w:w="0" w:type="dxa"/>
        <w:top w:w="0" w:type="dxa"/>
        <w:right w:w="0" w:type="dxa"/>
        <w:bottom w:w="0" w:type="dxa"/>
      </w:tblCellMar>
    </w:tblPr>
  </w:style>
  <w:style w:type="table" w:styleId="925" w:customStyle="1">
    <w:name w:val="List Table 1 Light - Accent 3"/>
    <w:uiPriority w:val="99"/>
    <w:qFormat/>
    <w:tblPr>
      <w:tblCellMar>
        <w:left w:w="0" w:type="dxa"/>
        <w:top w:w="0" w:type="dxa"/>
        <w:right w:w="0" w:type="dxa"/>
        <w:bottom w:w="0" w:type="dxa"/>
      </w:tblCellMar>
    </w:tblPr>
  </w:style>
  <w:style w:type="table" w:styleId="926" w:customStyle="1">
    <w:name w:val="List Table 1 Light - Accent 4"/>
    <w:uiPriority w:val="99"/>
    <w:qFormat/>
    <w:tblPr>
      <w:tblCellMar>
        <w:left w:w="0" w:type="dxa"/>
        <w:top w:w="0" w:type="dxa"/>
        <w:right w:w="0" w:type="dxa"/>
        <w:bottom w:w="0" w:type="dxa"/>
      </w:tblCellMar>
    </w:tblPr>
  </w:style>
  <w:style w:type="table" w:styleId="927" w:customStyle="1">
    <w:name w:val="List Table 1 Light - Accent 5"/>
    <w:uiPriority w:val="99"/>
    <w:qFormat/>
    <w:tblPr>
      <w:tblCellMar>
        <w:left w:w="0" w:type="dxa"/>
        <w:top w:w="0" w:type="dxa"/>
        <w:right w:w="0" w:type="dxa"/>
        <w:bottom w:w="0" w:type="dxa"/>
      </w:tblCellMar>
    </w:tblPr>
  </w:style>
  <w:style w:type="table" w:styleId="928" w:customStyle="1">
    <w:name w:val="List Table 1 Light - Accent 6"/>
    <w:uiPriority w:val="99"/>
    <w:qFormat/>
    <w:tblPr>
      <w:tblCellMar>
        <w:left w:w="0" w:type="dxa"/>
        <w:top w:w="0" w:type="dxa"/>
        <w:right w:w="0" w:type="dxa"/>
        <w:bottom w:w="0" w:type="dxa"/>
      </w:tblCellMar>
    </w:tblPr>
  </w:style>
  <w:style w:type="table" w:styleId="929"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30"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31"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32"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33"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34"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35"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36"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37"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38"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39"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40"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41"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42"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43"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44"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45"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46"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47"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48"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49"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50"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51"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52"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53"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54"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55"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56"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57"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58"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59"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60"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61"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62"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63"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64"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65"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66"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67"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68"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69"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70"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71" w:customStyle="1">
    <w:name w:val="Lined - Accent"/>
    <w:uiPriority w:val="99"/>
    <w:qFormat/>
    <w:rPr>
      <w:color w:val="404040"/>
    </w:rPr>
    <w:tblPr>
      <w:tblCellMar>
        <w:left w:w="0" w:type="dxa"/>
        <w:top w:w="0" w:type="dxa"/>
        <w:right w:w="0" w:type="dxa"/>
        <w:bottom w:w="0" w:type="dxa"/>
      </w:tblCellMar>
    </w:tblPr>
  </w:style>
  <w:style w:type="table" w:styleId="972" w:customStyle="1">
    <w:name w:val="Lined - Accent 1"/>
    <w:uiPriority w:val="99"/>
    <w:qFormat/>
    <w:rPr>
      <w:color w:val="404040"/>
    </w:rPr>
    <w:tblPr>
      <w:tblCellMar>
        <w:left w:w="0" w:type="dxa"/>
        <w:top w:w="0" w:type="dxa"/>
        <w:right w:w="0" w:type="dxa"/>
        <w:bottom w:w="0" w:type="dxa"/>
      </w:tblCellMar>
    </w:tblPr>
  </w:style>
  <w:style w:type="table" w:styleId="973" w:customStyle="1">
    <w:name w:val="Lined - Accent 2"/>
    <w:uiPriority w:val="99"/>
    <w:qFormat/>
    <w:rPr>
      <w:color w:val="404040"/>
    </w:rPr>
    <w:tblPr>
      <w:tblCellMar>
        <w:left w:w="0" w:type="dxa"/>
        <w:top w:w="0" w:type="dxa"/>
        <w:right w:w="0" w:type="dxa"/>
        <w:bottom w:w="0" w:type="dxa"/>
      </w:tblCellMar>
    </w:tblPr>
  </w:style>
  <w:style w:type="table" w:styleId="974" w:customStyle="1">
    <w:name w:val="Lined - Accent 3"/>
    <w:uiPriority w:val="99"/>
    <w:qFormat/>
    <w:rPr>
      <w:color w:val="404040"/>
    </w:rPr>
    <w:tblPr>
      <w:tblCellMar>
        <w:left w:w="0" w:type="dxa"/>
        <w:top w:w="0" w:type="dxa"/>
        <w:right w:w="0" w:type="dxa"/>
        <w:bottom w:w="0" w:type="dxa"/>
      </w:tblCellMar>
    </w:tblPr>
  </w:style>
  <w:style w:type="table" w:styleId="975" w:customStyle="1">
    <w:name w:val="Lined - Accent 4"/>
    <w:uiPriority w:val="99"/>
    <w:qFormat/>
    <w:rPr>
      <w:color w:val="404040"/>
    </w:rPr>
    <w:tblPr>
      <w:tblCellMar>
        <w:left w:w="0" w:type="dxa"/>
        <w:top w:w="0" w:type="dxa"/>
        <w:right w:w="0" w:type="dxa"/>
        <w:bottom w:w="0" w:type="dxa"/>
      </w:tblCellMar>
    </w:tblPr>
  </w:style>
  <w:style w:type="table" w:styleId="976" w:customStyle="1">
    <w:name w:val="Lined - Accent 5"/>
    <w:uiPriority w:val="99"/>
    <w:qFormat/>
    <w:rPr>
      <w:color w:val="404040"/>
    </w:rPr>
    <w:tblPr>
      <w:tblCellMar>
        <w:left w:w="0" w:type="dxa"/>
        <w:top w:w="0" w:type="dxa"/>
        <w:right w:w="0" w:type="dxa"/>
        <w:bottom w:w="0" w:type="dxa"/>
      </w:tblCellMar>
    </w:tblPr>
  </w:style>
  <w:style w:type="table" w:styleId="977" w:customStyle="1">
    <w:name w:val="Lined - Accent 6"/>
    <w:uiPriority w:val="99"/>
    <w:qFormat/>
    <w:rPr>
      <w:color w:val="404040"/>
    </w:rPr>
    <w:tblPr>
      <w:tblCellMar>
        <w:left w:w="0" w:type="dxa"/>
        <w:top w:w="0" w:type="dxa"/>
        <w:right w:w="0" w:type="dxa"/>
        <w:bottom w:w="0" w:type="dxa"/>
      </w:tblCellMar>
    </w:tblPr>
  </w:style>
  <w:style w:type="table" w:styleId="978"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79"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80"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81"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82"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83"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84"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85"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86"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87"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88"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89"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90"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91"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92" w:customStyle="1">
    <w:name w:val="脚注文本 字符"/>
    <w:link w:val="833"/>
    <w:uiPriority w:val="99"/>
    <w:qFormat/>
    <w:rPr>
      <w:sz w:val="18"/>
    </w:rPr>
  </w:style>
  <w:style w:type="character" w:styleId="993" w:customStyle="1">
    <w:name w:val="尾注文本 字符"/>
    <w:link w:val="827"/>
    <w:uiPriority w:val="99"/>
    <w:qFormat/>
    <w:rPr>
      <w:sz w:val="20"/>
    </w:rPr>
  </w:style>
  <w:style w:type="paragraph" w:styleId="994" w:customStyle="1">
    <w:name w:val="TOC 标题1"/>
    <w:uiPriority w:val="39"/>
    <w:unhideWhenUsed/>
    <w:qFormat/>
    <w:rPr>
      <w:rFonts w:ascii="Times New Roman" w:hAnsi="Times New Roman" w:eastAsia="宋体" w:cs="Times New Roman"/>
      <w:lang w:val="en-US" w:eastAsia="zh-CN" w:bidi="ar-SA"/>
    </w:rPr>
  </w:style>
  <w:style w:type="paragraph" w:styleId="995" w:customStyle="1">
    <w:name w:val="标题 11"/>
    <w:basedOn w:val="805"/>
    <w:next w:val="805"/>
    <w:link w:val="1002"/>
    <w:uiPriority w:val="0"/>
    <w:qFormat/>
    <w:pPr>
      <w:keepLines/>
      <w:keepNext/>
      <w:spacing w:before="340" w:after="330" w:line="578" w:lineRule="auto"/>
      <w:outlineLvl w:val="0"/>
    </w:pPr>
    <w:rPr>
      <w:b/>
      <w:bCs/>
      <w:sz w:val="44"/>
      <w:szCs w:val="44"/>
    </w:rPr>
  </w:style>
  <w:style w:type="paragraph" w:styleId="996" w:customStyle="1">
    <w:name w:val="标题 21"/>
    <w:basedOn w:val="805"/>
    <w:next w:val="805"/>
    <w:link w:val="1003"/>
    <w:uiPriority w:val="0"/>
    <w:qFormat/>
    <w:pPr>
      <w:keepLines/>
      <w:keepNext/>
      <w:spacing w:before="260" w:after="260" w:line="416" w:lineRule="auto"/>
      <w:outlineLvl w:val="1"/>
    </w:pPr>
    <w:rPr>
      <w:rFonts w:ascii="等线 Light" w:hAnsi="等线 Light" w:eastAsia="等线 Light"/>
      <w:b/>
      <w:bCs/>
      <w:sz w:val="32"/>
      <w:szCs w:val="32"/>
    </w:rPr>
  </w:style>
  <w:style w:type="paragraph" w:styleId="997" w:customStyle="1">
    <w:name w:val="标题 31"/>
    <w:basedOn w:val="995"/>
    <w:next w:val="998"/>
    <w:link w:val="1004"/>
    <w:uiPriority w:val="0"/>
    <w:qFormat/>
    <w:pPr>
      <w:ind w:left="720" w:hanging="720"/>
      <w:jc w:val="center"/>
      <w:spacing w:before="240" w:after="240" w:line="360" w:lineRule="auto"/>
      <w:outlineLvl w:val="2"/>
    </w:pPr>
    <w:rPr>
      <w:rFonts w:eastAsia="仿宋"/>
      <w:sz w:val="24"/>
    </w:rPr>
  </w:style>
  <w:style w:type="paragraph" w:styleId="998" w:customStyle="1">
    <w:name w:val="正文缩进1"/>
    <w:basedOn w:val="805"/>
    <w:link w:val="1005"/>
    <w:uiPriority w:val="0"/>
    <w:qFormat/>
    <w:pPr>
      <w:ind w:firstLine="420"/>
    </w:pPr>
    <w:rPr>
      <w:szCs w:val="20"/>
    </w:rPr>
  </w:style>
  <w:style w:type="paragraph" w:styleId="999" w:customStyle="1">
    <w:name w:val="标题 41"/>
    <w:basedOn w:val="805"/>
    <w:next w:val="805"/>
    <w:uiPriority w:val="0"/>
    <w:qFormat/>
    <w:pPr>
      <w:keepLines/>
      <w:keepNext/>
      <w:spacing w:before="120" w:after="120"/>
      <w:outlineLvl w:val="3"/>
    </w:pPr>
    <w:rPr>
      <w:rFonts w:ascii="Arial" w:hAnsi="Arial" w:eastAsia="黑体"/>
      <w:b/>
      <w:sz w:val="20"/>
      <w:szCs w:val="20"/>
    </w:rPr>
  </w:style>
  <w:style w:type="character" w:styleId="1000" w:customStyle="1">
    <w:name w:val="默认段落字体1"/>
    <w:uiPriority w:val="1"/>
    <w:unhideWhenUsed/>
    <w:qFormat/>
  </w:style>
  <w:style w:type="table" w:styleId="1001" w:customStyle="1">
    <w:name w:val="普通表格1"/>
    <w:uiPriority w:val="99"/>
    <w:unhideWhenUsed/>
    <w:qFormat/>
    <w:tblPr>
      <w:tblCellMar>
        <w:left w:w="0" w:type="dxa"/>
        <w:top w:w="0" w:type="dxa"/>
        <w:right w:w="0" w:type="dxa"/>
        <w:bottom w:w="0" w:type="dxa"/>
      </w:tblCellMar>
    </w:tblPr>
  </w:style>
  <w:style w:type="character" w:styleId="1002" w:customStyle="1">
    <w:name w:val="标题 1 字符"/>
    <w:link w:val="995"/>
    <w:uiPriority w:val="0"/>
    <w:qFormat/>
    <w:rPr>
      <w:rFonts w:ascii="Calibri" w:hAnsi="Calibri"/>
      <w:b/>
      <w:bCs/>
      <w:sz w:val="44"/>
      <w:szCs w:val="44"/>
    </w:rPr>
  </w:style>
  <w:style w:type="character" w:styleId="1003" w:customStyle="1">
    <w:name w:val="标题 2 字符"/>
    <w:link w:val="996"/>
    <w:uiPriority w:val="0"/>
    <w:qFormat/>
    <w:rPr>
      <w:rFonts w:ascii="等线 Light" w:hAnsi="等线 Light" w:eastAsia="等线 Light"/>
      <w:b/>
      <w:bCs/>
      <w:sz w:val="32"/>
      <w:szCs w:val="32"/>
    </w:rPr>
  </w:style>
  <w:style w:type="character" w:styleId="1004" w:customStyle="1">
    <w:name w:val="标题 3 字符"/>
    <w:link w:val="997"/>
    <w:uiPriority w:val="0"/>
    <w:qFormat/>
    <w:rPr>
      <w:rFonts w:ascii="Calibri" w:hAnsi="Calibri" w:eastAsia="仿宋"/>
      <w:b/>
      <w:bCs/>
      <w:sz w:val="24"/>
      <w:szCs w:val="44"/>
    </w:rPr>
  </w:style>
  <w:style w:type="character" w:styleId="1005" w:customStyle="1">
    <w:name w:val="正文缩进 字符"/>
    <w:link w:val="998"/>
    <w:uiPriority w:val="0"/>
    <w:qFormat/>
    <w:rPr>
      <w:rFonts w:ascii="Calibri" w:hAnsi="Calibri"/>
      <w:sz w:val="21"/>
    </w:rPr>
  </w:style>
  <w:style w:type="paragraph" w:styleId="1006" w:customStyle="1">
    <w:name w:val="引文目录标题1"/>
    <w:basedOn w:val="805"/>
    <w:next w:val="805"/>
    <w:uiPriority w:val="99"/>
    <w:unhideWhenUsed/>
    <w:qFormat/>
    <w:pPr>
      <w:spacing w:before="120"/>
    </w:pPr>
    <w:rPr>
      <w:rFonts w:ascii="Cambria" w:hAnsi="Cambria"/>
      <w:sz w:val="24"/>
      <w:szCs w:val="24"/>
    </w:rPr>
  </w:style>
  <w:style w:type="paragraph" w:styleId="1007" w:customStyle="1">
    <w:name w:val="批注文字1"/>
    <w:basedOn w:val="805"/>
    <w:link w:val="1008"/>
    <w:uiPriority w:val="0"/>
    <w:qFormat/>
    <w:pPr>
      <w:jc w:val="left"/>
    </w:pPr>
    <w:rPr>
      <w:szCs w:val="20"/>
    </w:rPr>
  </w:style>
  <w:style w:type="character" w:styleId="1008" w:customStyle="1">
    <w:name w:val="批注文字 字符"/>
    <w:link w:val="1007"/>
    <w:uiPriority w:val="0"/>
    <w:qFormat/>
    <w:rPr>
      <w:rFonts w:ascii="Calibri" w:hAnsi="Calibri"/>
      <w:sz w:val="21"/>
    </w:rPr>
  </w:style>
  <w:style w:type="paragraph" w:styleId="1009" w:customStyle="1">
    <w:name w:val="正文文本1"/>
    <w:basedOn w:val="805"/>
    <w:link w:val="1010"/>
    <w:uiPriority w:val="0"/>
    <w:qFormat/>
    <w:pPr>
      <w:spacing w:after="120"/>
    </w:pPr>
  </w:style>
  <w:style w:type="character" w:styleId="1010" w:customStyle="1">
    <w:name w:val="正文文本 字符"/>
    <w:link w:val="1009"/>
    <w:uiPriority w:val="0"/>
    <w:qFormat/>
    <w:rPr>
      <w:rFonts w:ascii="Calibri" w:hAnsi="Calibri"/>
      <w:sz w:val="21"/>
      <w:szCs w:val="22"/>
    </w:rPr>
  </w:style>
  <w:style w:type="paragraph" w:styleId="1011" w:customStyle="1">
    <w:name w:val="正文文本缩进1"/>
    <w:basedOn w:val="805"/>
    <w:link w:val="1012"/>
    <w:uiPriority w:val="0"/>
    <w:unhideWhenUsed/>
    <w:qFormat/>
    <w:pPr>
      <w:ind w:firstLine="420"/>
      <w:spacing w:line="360" w:lineRule="auto"/>
    </w:pPr>
    <w:rPr>
      <w:rFonts w:ascii="宋体" w:hAnsi="Times New Roman"/>
      <w:sz w:val="24"/>
      <w:szCs w:val="20"/>
    </w:rPr>
  </w:style>
  <w:style w:type="character" w:styleId="1012" w:customStyle="1">
    <w:name w:val="正文文本缩进 字符"/>
    <w:link w:val="1011"/>
    <w:uiPriority w:val="0"/>
    <w:qFormat/>
    <w:rPr>
      <w:rFonts w:ascii="宋体"/>
      <w:sz w:val="24"/>
    </w:rPr>
  </w:style>
  <w:style w:type="paragraph" w:styleId="1013" w:customStyle="1">
    <w:name w:val="纯文本11"/>
    <w:basedOn w:val="805"/>
    <w:link w:val="1014"/>
    <w:uiPriority w:val="0"/>
    <w:qFormat/>
    <w:rPr>
      <w:rFonts w:ascii="宋体" w:hAnsi="Courier New"/>
    </w:rPr>
  </w:style>
  <w:style w:type="character" w:styleId="1014" w:customStyle="1">
    <w:name w:val="纯文本 字符"/>
    <w:link w:val="1013"/>
    <w:uiPriority w:val="0"/>
    <w:qFormat/>
    <w:rPr>
      <w:rFonts w:ascii="宋体" w:hAnsi="Courier New"/>
      <w:sz w:val="21"/>
      <w:szCs w:val="22"/>
    </w:rPr>
  </w:style>
  <w:style w:type="paragraph" w:styleId="1015" w:customStyle="1">
    <w:name w:val="日期1"/>
    <w:basedOn w:val="805"/>
    <w:next w:val="805"/>
    <w:link w:val="1016"/>
    <w:uiPriority w:val="0"/>
    <w:qFormat/>
    <w:rPr>
      <w:rFonts w:ascii="宋体" w:hAnsi="Times New Roman"/>
      <w:sz w:val="28"/>
      <w:szCs w:val="20"/>
    </w:rPr>
  </w:style>
  <w:style w:type="character" w:styleId="1016" w:customStyle="1">
    <w:name w:val="日期 字符1"/>
    <w:link w:val="1015"/>
    <w:uiPriority w:val="0"/>
    <w:qFormat/>
    <w:rPr>
      <w:rFonts w:ascii="宋体"/>
      <w:sz w:val="28"/>
    </w:rPr>
  </w:style>
  <w:style w:type="paragraph" w:styleId="1017" w:customStyle="1">
    <w:name w:val="正文文本缩进 21"/>
    <w:basedOn w:val="805"/>
    <w:uiPriority w:val="0"/>
    <w:qFormat/>
    <w:pPr>
      <w:ind w:left="630" w:firstLine="645"/>
    </w:pPr>
    <w:rPr>
      <w:rFonts w:ascii="Arial" w:hAnsi="Arial" w:eastAsia="仿宋_GB2312"/>
      <w:sz w:val="32"/>
      <w:szCs w:val="20"/>
    </w:rPr>
  </w:style>
  <w:style w:type="paragraph" w:styleId="1018" w:customStyle="1">
    <w:name w:val="批注框文本1"/>
    <w:basedOn w:val="805"/>
    <w:link w:val="1019"/>
    <w:uiPriority w:val="0"/>
    <w:qFormat/>
    <w:rPr>
      <w:sz w:val="16"/>
      <w:szCs w:val="16"/>
    </w:rPr>
  </w:style>
  <w:style w:type="character" w:styleId="1019" w:customStyle="1">
    <w:name w:val="批注框文本 字符1"/>
    <w:link w:val="1018"/>
    <w:uiPriority w:val="0"/>
    <w:qFormat/>
    <w:rPr>
      <w:rFonts w:ascii="Calibri" w:hAnsi="Calibri" w:eastAsia="宋体" w:cs="Times New Roman"/>
      <w:sz w:val="16"/>
      <w:szCs w:val="16"/>
    </w:rPr>
  </w:style>
  <w:style w:type="paragraph" w:styleId="1020" w:customStyle="1">
    <w:name w:val="页脚1"/>
    <w:basedOn w:val="805"/>
    <w:link w:val="1021"/>
    <w:uiPriority w:val="0"/>
    <w:qFormat/>
    <w:pPr>
      <w:jc w:val="left"/>
      <w:tabs>
        <w:tab w:val="center" w:pos="4153" w:leader="none"/>
        <w:tab w:val="right" w:pos="8306" w:leader="none"/>
      </w:tabs>
    </w:pPr>
    <w:rPr>
      <w:sz w:val="18"/>
      <w:szCs w:val="18"/>
    </w:rPr>
  </w:style>
  <w:style w:type="character" w:styleId="1021" w:customStyle="1">
    <w:name w:val="页脚 字符"/>
    <w:link w:val="1020"/>
    <w:uiPriority w:val="0"/>
    <w:qFormat/>
    <w:rPr>
      <w:rFonts w:ascii="Calibri" w:hAnsi="Calibri"/>
      <w:sz w:val="18"/>
      <w:szCs w:val="18"/>
    </w:rPr>
  </w:style>
  <w:style w:type="paragraph" w:styleId="1022" w:customStyle="1">
    <w:name w:val="页眉1"/>
    <w:basedOn w:val="805"/>
    <w:link w:val="1023"/>
    <w:uiPriority w:val="0"/>
    <w:qFormat/>
    <w:pPr>
      <w:jc w:val="center"/>
      <w:tabs>
        <w:tab w:val="center" w:pos="4153" w:leader="none"/>
        <w:tab w:val="right" w:pos="8306" w:leader="none"/>
      </w:tabs>
      <w:pBdr>
        <w:bottom w:val="single" w:color="000000" w:sz="6" w:space="1"/>
      </w:pBdr>
    </w:pPr>
    <w:rPr>
      <w:sz w:val="18"/>
      <w:szCs w:val="18"/>
    </w:rPr>
  </w:style>
  <w:style w:type="character" w:styleId="1023" w:customStyle="1">
    <w:name w:val="页眉 字符"/>
    <w:link w:val="1022"/>
    <w:uiPriority w:val="0"/>
    <w:qFormat/>
    <w:rPr>
      <w:rFonts w:ascii="Calibri" w:hAnsi="Calibri"/>
      <w:sz w:val="18"/>
      <w:szCs w:val="18"/>
    </w:rPr>
  </w:style>
  <w:style w:type="paragraph" w:styleId="1024" w:customStyle="1">
    <w:name w:val="索引标题1"/>
    <w:basedOn w:val="805"/>
    <w:next w:val="1025"/>
    <w:uiPriority w:val="0"/>
    <w:qFormat/>
    <w:rPr>
      <w:szCs w:val="20"/>
    </w:rPr>
  </w:style>
  <w:style w:type="paragraph" w:styleId="1025" w:customStyle="1">
    <w:name w:val="索引 11"/>
    <w:basedOn w:val="805"/>
    <w:next w:val="805"/>
    <w:uiPriority w:val="0"/>
    <w:qFormat/>
    <w:pPr>
      <w:jc w:val="center"/>
    </w:pPr>
    <w:rPr>
      <w:bCs/>
      <w:szCs w:val="20"/>
    </w:rPr>
  </w:style>
  <w:style w:type="paragraph" w:styleId="1026" w:customStyle="1">
    <w:name w:val="副标题1"/>
    <w:basedOn w:val="805"/>
    <w:next w:val="805"/>
    <w:link w:val="1027"/>
    <w:uiPriority w:val="0"/>
    <w:qFormat/>
    <w:pPr>
      <w:jc w:val="left"/>
      <w:spacing w:line="360" w:lineRule="auto"/>
      <w:outlineLvl w:val="1"/>
    </w:pPr>
    <w:rPr>
      <w:rFonts w:ascii="等线 Light" w:hAnsi="等线 Light" w:eastAsia="仿宋"/>
      <w:b/>
      <w:bCs/>
      <w:sz w:val="28"/>
      <w:szCs w:val="32"/>
    </w:rPr>
  </w:style>
  <w:style w:type="character" w:styleId="1027" w:customStyle="1">
    <w:name w:val="副标题 字符"/>
    <w:link w:val="1026"/>
    <w:uiPriority w:val="0"/>
    <w:qFormat/>
    <w:rPr>
      <w:rFonts w:ascii="等线 Light" w:hAnsi="等线 Light" w:eastAsia="仿宋"/>
      <w:b/>
      <w:bCs/>
      <w:sz w:val="28"/>
      <w:szCs w:val="32"/>
    </w:rPr>
  </w:style>
  <w:style w:type="paragraph" w:styleId="1028" w:customStyle="1">
    <w:name w:val="正文文本缩进 31"/>
    <w:basedOn w:val="805"/>
    <w:link w:val="1029"/>
    <w:uiPriority w:val="0"/>
    <w:qFormat/>
    <w:pPr>
      <w:ind w:left="420"/>
      <w:spacing w:after="120"/>
    </w:pPr>
    <w:rPr>
      <w:rFonts w:ascii="Plotter" w:hAnsi="Plotter"/>
      <w:sz w:val="16"/>
      <w:szCs w:val="16"/>
    </w:rPr>
  </w:style>
  <w:style w:type="character" w:styleId="1029" w:customStyle="1">
    <w:name w:val="正文文本缩进 3 字符"/>
    <w:link w:val="1028"/>
    <w:uiPriority w:val="0"/>
    <w:qFormat/>
    <w:rPr>
      <w:rFonts w:ascii="Plotter" w:hAnsi="Plotter"/>
      <w:sz w:val="16"/>
      <w:szCs w:val="16"/>
    </w:rPr>
  </w:style>
  <w:style w:type="paragraph" w:styleId="1030" w:customStyle="1">
    <w:name w:val="普通(网站)11"/>
    <w:basedOn w:val="805"/>
    <w:uiPriority w:val="99"/>
    <w:qFormat/>
    <w:pPr>
      <w:jc w:val="left"/>
    </w:pPr>
    <w:rPr>
      <w:rFonts w:ascii="Plotter" w:hAnsi="Plotter" w:eastAsia="微软雅黑"/>
      <w:sz w:val="24"/>
    </w:rPr>
  </w:style>
  <w:style w:type="paragraph" w:styleId="1031" w:customStyle="1">
    <w:name w:val="标题1"/>
    <w:basedOn w:val="805"/>
    <w:next w:val="805"/>
    <w:link w:val="1032"/>
    <w:uiPriority w:val="0"/>
    <w:qFormat/>
    <w:pPr>
      <w:jc w:val="center"/>
      <w:spacing w:before="240" w:after="60"/>
      <w:outlineLvl w:val="0"/>
    </w:pPr>
    <w:rPr>
      <w:rFonts w:ascii="等线 Light" w:hAnsi="等线 Light"/>
      <w:b/>
      <w:bCs/>
      <w:sz w:val="32"/>
      <w:szCs w:val="32"/>
    </w:rPr>
  </w:style>
  <w:style w:type="character" w:styleId="1032" w:customStyle="1">
    <w:name w:val="标题 字符"/>
    <w:link w:val="1031"/>
    <w:uiPriority w:val="0"/>
    <w:qFormat/>
    <w:rPr>
      <w:rFonts w:ascii="等线 Light" w:hAnsi="等线 Light"/>
      <w:b/>
      <w:bCs/>
      <w:sz w:val="32"/>
      <w:szCs w:val="32"/>
    </w:rPr>
  </w:style>
  <w:style w:type="paragraph" w:styleId="1033" w:customStyle="1">
    <w:name w:val="批注主题1"/>
    <w:basedOn w:val="1007"/>
    <w:next w:val="1007"/>
    <w:link w:val="1034"/>
    <w:uiPriority w:val="0"/>
    <w:qFormat/>
    <w:rPr>
      <w:rFonts w:ascii="Plotter" w:hAnsi="Plotter"/>
      <w:b/>
      <w:bCs/>
      <w:szCs w:val="22"/>
    </w:rPr>
  </w:style>
  <w:style w:type="character" w:styleId="1034" w:customStyle="1">
    <w:name w:val="批注主题 字符"/>
    <w:link w:val="1033"/>
    <w:uiPriority w:val="0"/>
    <w:qFormat/>
    <w:rPr>
      <w:rFonts w:ascii="Plotter" w:hAnsi="Plotter"/>
      <w:b/>
      <w:bCs/>
      <w:sz w:val="21"/>
      <w:szCs w:val="22"/>
    </w:rPr>
  </w:style>
  <w:style w:type="paragraph" w:styleId="1035" w:customStyle="1">
    <w:name w:val="正文文本首行缩进1"/>
    <w:basedOn w:val="1009"/>
    <w:link w:val="1036"/>
    <w:uiPriority w:val="0"/>
    <w:qFormat/>
    <w:pPr>
      <w:ind w:firstLine="420"/>
    </w:pPr>
    <w:rPr>
      <w:rFonts w:ascii="Times New Roman" w:hAnsi="Times New Roman" w:eastAsia="微软雅黑"/>
      <w:sz w:val="30"/>
    </w:rPr>
  </w:style>
  <w:style w:type="character" w:styleId="1036" w:customStyle="1">
    <w:name w:val="正文文本首行缩进 字符"/>
    <w:link w:val="1035"/>
    <w:uiPriority w:val="0"/>
    <w:qFormat/>
  </w:style>
  <w:style w:type="table" w:styleId="1037" w:customStyle="1">
    <w:name w:val="网格型1"/>
    <w:basedOn w:val="1001"/>
    <w:uiPriority w:val="0"/>
    <w:qFormat/>
    <w:rPr>
      <w:rFonts w:ascii="Calibri" w:hAnsi="Calibri"/>
      <w:sz w:val="21"/>
      <w:szCs w:val="22"/>
    </w:rPr>
    <w:tblPr/>
  </w:style>
  <w:style w:type="character" w:styleId="1038" w:customStyle="1">
    <w:name w:val="要点1"/>
    <w:uiPriority w:val="0"/>
    <w:qFormat/>
    <w:rPr>
      <w:b/>
      <w:bCs/>
      <w:sz w:val="24"/>
      <w:szCs w:val="24"/>
    </w:rPr>
  </w:style>
  <w:style w:type="character" w:styleId="1039" w:customStyle="1">
    <w:name w:val="页码11"/>
    <w:uiPriority w:val="0"/>
    <w:qFormat/>
  </w:style>
  <w:style w:type="character" w:styleId="1040" w:customStyle="1">
    <w:name w:val="访问过的超链接1"/>
    <w:uiPriority w:val="99"/>
    <w:qFormat/>
    <w:rPr>
      <w:color w:val="000000"/>
      <w:u w:val="none"/>
    </w:rPr>
  </w:style>
  <w:style w:type="character" w:styleId="1041" w:customStyle="1">
    <w:name w:val="强调1"/>
    <w:uiPriority w:val="20"/>
    <w:qFormat/>
    <w:rPr>
      <w:i/>
      <w:iCs/>
    </w:rPr>
  </w:style>
  <w:style w:type="character" w:styleId="1042" w:customStyle="1">
    <w:name w:val="超链接1"/>
    <w:uiPriority w:val="99"/>
    <w:unhideWhenUsed/>
    <w:qFormat/>
    <w:rPr>
      <w:color w:val="0563c1"/>
      <w:u w:val="single"/>
    </w:rPr>
  </w:style>
  <w:style w:type="character" w:styleId="1043" w:customStyle="1">
    <w:name w:val="HTML 代码1"/>
    <w:uiPriority w:val="0"/>
    <w:qFormat/>
    <w:rPr>
      <w:rFonts w:ascii="Courier New" w:hAnsi="Courier New"/>
      <w:sz w:val="20"/>
    </w:rPr>
  </w:style>
  <w:style w:type="character" w:styleId="1044" w:customStyle="1">
    <w:name w:val="批注引用1"/>
    <w:uiPriority w:val="0"/>
    <w:qFormat/>
    <w:rPr>
      <w:sz w:val="21"/>
      <w:szCs w:val="21"/>
    </w:rPr>
  </w:style>
  <w:style w:type="character" w:styleId="1045" w:customStyle="1">
    <w:name w:val="样式 标题 3标题 3 Char + 黑体 小四 非加粗 Char"/>
    <w:link w:val="1046"/>
    <w:uiPriority w:val="0"/>
    <w:qFormat/>
    <w:rPr>
      <w:rFonts w:ascii="黑体" w:hAnsi="黑体" w:eastAsia="黑体"/>
      <w:b/>
      <w:sz w:val="24"/>
    </w:rPr>
  </w:style>
  <w:style w:type="paragraph" w:styleId="1046" w:customStyle="1">
    <w:name w:val="样式 标题 3标题 3 Char + 黑体 小四 非加粗"/>
    <w:basedOn w:val="999"/>
    <w:link w:val="1045"/>
    <w:uiPriority w:val="0"/>
    <w:qFormat/>
    <w:pPr>
      <w:ind w:left="360"/>
      <w:spacing w:before="280" w:after="290" w:line="376" w:lineRule="auto"/>
    </w:pPr>
    <w:rPr>
      <w:rFonts w:ascii="黑体" w:hAnsi="黑体"/>
      <w:sz w:val="24"/>
    </w:rPr>
  </w:style>
  <w:style w:type="character" w:styleId="1047" w:customStyle="1">
    <w:name w:val="font01"/>
    <w:uiPriority w:val="0"/>
    <w:qFormat/>
    <w:rPr>
      <w:rFonts w:ascii="Times New Roman" w:hAnsi="Times New Roman" w:cs="Times New Roman"/>
      <w:color w:val="000000"/>
      <w:sz w:val="24"/>
      <w:szCs w:val="24"/>
      <w:u w:val="none"/>
    </w:rPr>
  </w:style>
  <w:style w:type="character" w:styleId="1048" w:customStyle="1">
    <w:name w:val="正文文本缩进 3 Char1"/>
    <w:uiPriority w:val="0"/>
    <w:qFormat/>
    <w:rPr>
      <w:rFonts w:ascii="Calibri" w:hAnsi="Calibri"/>
      <w:sz w:val="16"/>
      <w:szCs w:val="16"/>
    </w:rPr>
  </w:style>
  <w:style w:type="character" w:styleId="1049" w:customStyle="1">
    <w:name w:val="font51"/>
    <w:uiPriority w:val="0"/>
    <w:qFormat/>
    <w:rPr>
      <w:rFonts w:hint="eastAsia" w:ascii="宋体" w:hAnsi="宋体" w:eastAsia="宋体" w:cs="宋体"/>
      <w:b/>
      <w:color w:val="000000"/>
      <w:sz w:val="24"/>
      <w:szCs w:val="24"/>
      <w:u w:val="none"/>
    </w:rPr>
  </w:style>
  <w:style w:type="character" w:styleId="1050" w:customStyle="1">
    <w:name w:val="日期 Char1"/>
    <w:uiPriority w:val="0"/>
    <w:qFormat/>
    <w:rPr>
      <w:rFonts w:ascii="Calibri" w:hAnsi="Calibri"/>
      <w:sz w:val="21"/>
      <w:szCs w:val="22"/>
    </w:rPr>
  </w:style>
  <w:style w:type="character" w:styleId="1051" w:customStyle="1">
    <w:name w:val="grame"/>
    <w:uiPriority w:val="0"/>
    <w:qFormat/>
  </w:style>
  <w:style w:type="character" w:styleId="1052" w:customStyle="1">
    <w:name w:val="批注文字 Char2"/>
    <w:uiPriority w:val="0"/>
    <w:qFormat/>
    <w:rPr>
      <w:rFonts w:ascii="Symbol" w:hAnsi="Symbol" w:eastAsia="宋体" w:cs="Symbol"/>
      <w:sz w:val="21"/>
      <w:szCs w:val="24"/>
      <w:lang w:val="en-US" w:eastAsia="zh-CN" w:bidi="ar-SA"/>
    </w:rPr>
  </w:style>
  <w:style w:type="character" w:styleId="1053" w:customStyle="1">
    <w:name w:val="标题 Char1"/>
    <w:uiPriority w:val="0"/>
    <w:qFormat/>
    <w:rPr>
      <w:rFonts w:ascii="Cambria" w:hAnsi="Cambria" w:cs="Times New Roman"/>
      <w:b/>
      <w:bCs/>
      <w:sz w:val="32"/>
      <w:szCs w:val="32"/>
    </w:rPr>
  </w:style>
  <w:style w:type="character" w:styleId="1054" w:customStyle="1">
    <w:name w:val="font11"/>
    <w:uiPriority w:val="0"/>
    <w:qFormat/>
    <w:rPr>
      <w:rFonts w:hint="eastAsia" w:ascii="宋体" w:hAnsi="宋体" w:eastAsia="宋体" w:cs="宋体"/>
      <w:color w:val="ff0000"/>
      <w:sz w:val="24"/>
      <w:szCs w:val="24"/>
      <w:u w:val="none"/>
    </w:rPr>
  </w:style>
  <w:style w:type="character" w:styleId="1055" w:customStyle="1">
    <w:name w:val="font31"/>
    <w:uiPriority w:val="0"/>
    <w:qFormat/>
    <w:rPr>
      <w:rFonts w:hint="eastAsia" w:ascii="宋体" w:hAnsi="宋体" w:eastAsia="宋体" w:cs="宋体"/>
      <w:b/>
      <w:color w:val="000000"/>
      <w:sz w:val="18"/>
      <w:szCs w:val="18"/>
      <w:u w:val="none"/>
    </w:rPr>
  </w:style>
  <w:style w:type="character" w:styleId="1056" w:customStyle="1">
    <w:name w:val="正文文本 (2)_"/>
    <w:link w:val="1057"/>
    <w:uiPriority w:val="99"/>
    <w:qFormat/>
    <w:rPr>
      <w:rFonts w:ascii="Wingdings" w:hAnsi="Wingdings"/>
      <w:sz w:val="18"/>
      <w:szCs w:val="22"/>
      <w:lang w:val="zh-TW"/>
    </w:rPr>
  </w:style>
  <w:style w:type="paragraph" w:styleId="1057" w:customStyle="1">
    <w:name w:val="正文文本 (2)"/>
    <w:basedOn w:val="805"/>
    <w:link w:val="1056"/>
    <w:uiPriority w:val="99"/>
    <w:qFormat/>
    <w:pPr>
      <w:ind w:left="900" w:hanging="420"/>
      <w:spacing w:line="480" w:lineRule="exact"/>
      <w:outlineLvl w:val="1"/>
    </w:pPr>
    <w:rPr>
      <w:rFonts w:ascii="Wingdings" w:hAnsi="Wingdings"/>
      <w:sz w:val="18"/>
      <w:lang w:val="zh-TW"/>
    </w:rPr>
  </w:style>
  <w:style w:type="character" w:styleId="1058" w:customStyle="1">
    <w:name w:val="批注文字 Char"/>
    <w:uiPriority w:val="0"/>
    <w:qFormat/>
    <w:rPr>
      <w:rFonts w:ascii="Plotter" w:hAnsi="Plotter"/>
      <w:sz w:val="21"/>
      <w:szCs w:val="22"/>
    </w:rPr>
  </w:style>
  <w:style w:type="character" w:styleId="1059" w:customStyle="1">
    <w:name w:val="time"/>
    <w:uiPriority w:val="0"/>
    <w:qFormat/>
    <w:rPr>
      <w:color w:val="939393"/>
      <w:sz w:val="18"/>
      <w:szCs w:val="18"/>
    </w:rPr>
  </w:style>
  <w:style w:type="character" w:styleId="1060" w:customStyle="1">
    <w:name w:val="font21"/>
    <w:uiPriority w:val="0"/>
    <w:qFormat/>
    <w:rPr>
      <w:rFonts w:hint="eastAsia" w:ascii="宋体" w:hAnsi="宋体" w:eastAsia="宋体" w:cs="宋体"/>
      <w:color w:val="000000"/>
      <w:sz w:val="24"/>
      <w:szCs w:val="24"/>
      <w:u w:val="none"/>
    </w:rPr>
  </w:style>
  <w:style w:type="character" w:styleId="1061" w:customStyle="1">
    <w:name w:val="channel"/>
    <w:uiPriority w:val="0"/>
    <w:qFormat/>
    <w:rPr>
      <w:color w:val="666666"/>
      <w:sz w:val="18"/>
      <w:szCs w:val="18"/>
    </w:rPr>
  </w:style>
  <w:style w:type="character" w:styleId="1062" w:customStyle="1">
    <w:name w:val="日期 字符"/>
    <w:uiPriority w:val="0"/>
    <w:qFormat/>
    <w:rPr>
      <w:rFonts w:ascii="Plotter" w:hAnsi="Plotter"/>
      <w:sz w:val="21"/>
      <w:szCs w:val="22"/>
    </w:rPr>
  </w:style>
  <w:style w:type="character" w:styleId="1063" w:customStyle="1">
    <w:name w:val="批注主题 Char1"/>
    <w:uiPriority w:val="0"/>
    <w:qFormat/>
  </w:style>
  <w:style w:type="character" w:styleId="1064" w:customStyle="1">
    <w:name w:val="副标题 Char1"/>
    <w:uiPriority w:val="0"/>
    <w:qFormat/>
    <w:rPr>
      <w:rFonts w:ascii="Cambria" w:hAnsi="Cambria" w:cs="Times New Roman"/>
      <w:b/>
      <w:bCs/>
      <w:sz w:val="32"/>
      <w:szCs w:val="32"/>
    </w:rPr>
  </w:style>
  <w:style w:type="character" w:styleId="1065" w:customStyle="1">
    <w:name w:val="批注框文本 字符"/>
    <w:uiPriority w:val="99"/>
    <w:qFormat/>
    <w:rPr>
      <w:sz w:val="18"/>
      <w:szCs w:val="18"/>
    </w:rPr>
  </w:style>
  <w:style w:type="character" w:styleId="1066" w:customStyle="1">
    <w:name w:val="页码1"/>
    <w:uiPriority w:val="0"/>
    <w:qFormat/>
  </w:style>
  <w:style w:type="paragraph" w:styleId="1067" w:customStyle="1">
    <w:name w:val="列出段落11"/>
    <w:basedOn w:val="805"/>
    <w:uiPriority w:val="0"/>
    <w:qFormat/>
    <w:pPr>
      <w:ind w:firstLine="420"/>
      <w:jc w:val="left"/>
    </w:pPr>
    <w:rPr>
      <w:rFonts w:cs="宋体"/>
      <w:sz w:val="22"/>
      <w:lang w:val="zh-CN" w:bidi="zh-CN"/>
    </w:rPr>
  </w:style>
  <w:style w:type="paragraph" w:styleId="1068" w:customStyle="1">
    <w:name w:val="列表段落1"/>
    <w:basedOn w:val="805"/>
    <w:uiPriority w:val="1"/>
    <w:qFormat/>
    <w:pPr>
      <w:ind w:firstLine="420"/>
    </w:pPr>
  </w:style>
  <w:style w:type="paragraph" w:styleId="1069" w:customStyle="1">
    <w:name w:val="样式 样式 样式 左侧:  2 字符1 + 首行缩进:  2 字符1 + 首行缩进:  2 字符"/>
    <w:basedOn w:val="805"/>
    <w:uiPriority w:val="0"/>
    <w:qFormat/>
    <w:pPr>
      <w:ind w:firstLine="480"/>
      <w:spacing w:before="60" w:after="120" w:line="440" w:lineRule="atLeast"/>
      <w:widowControl/>
    </w:pPr>
    <w:rPr>
      <w:rFonts w:ascii="Times New Roman" w:hAnsi="Times New Roman" w:eastAsia="微软雅黑"/>
      <w:sz w:val="24"/>
    </w:rPr>
  </w:style>
  <w:style w:type="paragraph" w:styleId="1070" w:customStyle="1">
    <w:name w:val="浅色网格 - 强调文字颜色 31"/>
    <w:basedOn w:val="805"/>
    <w:uiPriority w:val="34"/>
    <w:qFormat/>
    <w:pPr>
      <w:ind w:firstLine="420"/>
      <w:jc w:val="left"/>
      <w:widowControl/>
    </w:pPr>
    <w:rPr>
      <w:sz w:val="22"/>
      <w:lang w:eastAsia="en-US" w:bidi="en-US"/>
    </w:rPr>
  </w:style>
  <w:style w:type="paragraph" w:styleId="1071" w:customStyle="1">
    <w:name w:val="GEDI正文样式"/>
    <w:basedOn w:val="805"/>
    <w:uiPriority w:val="0"/>
    <w:qFormat/>
    <w:pPr>
      <w:ind w:firstLine="480"/>
      <w:spacing w:line="480" w:lineRule="atLeast"/>
    </w:pPr>
    <w:rPr>
      <w:rFonts w:eastAsia="微软雅黑"/>
      <w:szCs w:val="24"/>
    </w:rPr>
  </w:style>
  <w:style w:type="paragraph" w:styleId="1072" w:customStyle="1">
    <w:name w:val="正文1"/>
    <w:basedOn w:val="805"/>
    <w:next w:val="805"/>
    <w:uiPriority w:val="0"/>
    <w:qFormat/>
    <w:pPr>
      <w:ind w:firstLine="510"/>
      <w:spacing w:before="156" w:line="360" w:lineRule="auto"/>
    </w:pPr>
    <w:rPr>
      <w:rFonts w:ascii="Times New Roman" w:hAnsi="Times New Roman"/>
      <w:sz w:val="24"/>
      <w:szCs w:val="20"/>
    </w:rPr>
  </w:style>
  <w:style w:type="paragraph" w:styleId="1073" w:customStyle="1">
    <w:name w:val="[基本段落]"/>
    <w:basedOn w:val="805"/>
    <w:uiPriority w:val="99"/>
    <w:qFormat/>
    <w:pPr>
      <w:spacing w:line="288" w:lineRule="auto"/>
    </w:pPr>
    <w:rPr>
      <w:rFonts w:ascii="宋体" w:hAnsi="Times New Roman" w:cs="宋体"/>
      <w:color w:val="000000"/>
      <w:sz w:val="24"/>
      <w:szCs w:val="24"/>
      <w:lang w:val="zh-CN"/>
    </w:rPr>
  </w:style>
  <w:style w:type="paragraph" w:styleId="1074" w:customStyle="1">
    <w:name w:val="_Style 1"/>
    <w:basedOn w:val="805"/>
    <w:uiPriority w:val="99"/>
    <w:unhideWhenUsed/>
    <w:qFormat/>
    <w:pPr>
      <w:ind w:firstLine="420"/>
    </w:pPr>
  </w:style>
  <w:style w:type="paragraph" w:styleId="1075" w:customStyle="1">
    <w:name w:val="Table Paragraph"/>
    <w:basedOn w:val="805"/>
    <w:uiPriority w:val="1"/>
    <w:qFormat/>
    <w:pPr>
      <w:jc w:val="left"/>
    </w:pPr>
    <w:rPr>
      <w:rFonts w:ascii="仿宋" w:eastAsia="仿宋" w:cs="黑体"/>
      <w:sz w:val="24"/>
      <w:lang w:eastAsia="en-US"/>
    </w:rPr>
  </w:style>
  <w:style w:type="paragraph" w:styleId="1076" w:customStyle="1">
    <w:name w:val="纯文本1"/>
    <w:basedOn w:val="805"/>
    <w:uiPriority w:val="0"/>
    <w:qFormat/>
    <w:rPr>
      <w:rFonts w:ascii="宋体" w:hAnsi="Courier New" w:eastAsia="微软雅黑"/>
    </w:rPr>
  </w:style>
  <w:style w:type="paragraph" w:styleId="1077" w:customStyle="1">
    <w:name w:val="列出段落3"/>
    <w:basedOn w:val="805"/>
    <w:uiPriority w:val="34"/>
    <w:qFormat/>
    <w:pPr>
      <w:ind w:firstLine="420"/>
    </w:pPr>
    <w:rPr>
      <w:rFonts w:ascii="Plotter" w:hAnsi="Plotter" w:eastAsia="微软雅黑"/>
    </w:rPr>
  </w:style>
  <w:style w:type="paragraph" w:styleId="1078" w:customStyle="1">
    <w:name w:val="样式1"/>
    <w:basedOn w:val="805"/>
    <w:uiPriority w:val="0"/>
    <w:qFormat/>
    <w:pPr>
      <w:jc w:val="left"/>
      <w:widowControl/>
    </w:pPr>
    <w:rPr>
      <w:rFonts w:ascii="Times New Roman" w:hAnsi="Times New Roman"/>
      <w:sz w:val="20"/>
      <w:szCs w:val="20"/>
    </w:rPr>
  </w:style>
  <w:style w:type="paragraph" w:styleId="1079" w:customStyle="1">
    <w:name w:val="正文 A"/>
    <w:uiPriority w:val="0"/>
    <w:qFormat/>
    <w:pPr>
      <w:jc w:val="both"/>
      <w:widowControl w:val="off"/>
    </w:pPr>
    <w:rPr>
      <w:rFonts w:hint="eastAsia" w:ascii="Arial Unicode MS" w:hAnsi="Arial Unicode MS" w:eastAsia="Arial Unicode MS" w:cs="Arial Unicode MS"/>
      <w:color w:val="000000"/>
      <w:sz w:val="21"/>
      <w:szCs w:val="21"/>
      <w:lang w:val="en-US" w:eastAsia="zh-CN" w:bidi="ar-SA"/>
    </w:rPr>
  </w:style>
  <w:style w:type="paragraph" w:styleId="1080" w:customStyle="1">
    <w:name w:val="p15"/>
    <w:basedOn w:val="805"/>
    <w:uiPriority w:val="0"/>
    <w:qFormat/>
    <w:pPr>
      <w:ind w:firstLine="420"/>
    </w:pPr>
    <w:rPr>
      <w:rFonts w:eastAsia="微软雅黑" w:cs="Calibri"/>
    </w:rPr>
  </w:style>
  <w:style w:type="paragraph" w:styleId="1081" w:customStyle="1">
    <w:name w:val="列出段落2"/>
    <w:basedOn w:val="805"/>
    <w:uiPriority w:val="99"/>
    <w:qFormat/>
    <w:pPr>
      <w:ind w:firstLine="420"/>
      <w:jc w:val="left"/>
      <w:widowControl/>
    </w:pPr>
    <w:rPr>
      <w:rFonts w:ascii="宋体" w:hAnsi="宋体" w:eastAsia="仿宋" w:cs="宋体"/>
      <w:sz w:val="28"/>
      <w:szCs w:val="24"/>
    </w:rPr>
  </w:style>
  <w:style w:type="paragraph" w:styleId="1082" w:customStyle="1">
    <w:name w:val="正文段落"/>
    <w:basedOn w:val="805"/>
    <w:uiPriority w:val="0"/>
    <w:qFormat/>
    <w:pPr>
      <w:ind w:firstLine="200"/>
      <w:spacing w:before="100" w:beforeAutospacing="1" w:after="100" w:afterAutospacing="1"/>
    </w:pPr>
  </w:style>
  <w:style w:type="paragraph" w:styleId="1083" w:customStyle="1">
    <w:name w:val="列出段落1"/>
    <w:basedOn w:val="805"/>
    <w:uiPriority w:val="0"/>
    <w:qFormat/>
    <w:pPr>
      <w:ind w:firstLine="420"/>
    </w:pPr>
    <w:rPr>
      <w:rFonts w:ascii="Times New Roman" w:hAnsi="Times New Roman"/>
      <w:szCs w:val="21"/>
    </w:rPr>
  </w:style>
  <w:style w:type="paragraph" w:styleId="1084" w:customStyle="1">
    <w:name w:val="TOC 标题2"/>
    <w:basedOn w:val="995"/>
    <w:next w:val="805"/>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1085" w:customStyle="1">
    <w:name w:val="四级目录"/>
    <w:basedOn w:val="805"/>
    <w:next w:val="805"/>
    <w:uiPriority w:val="99"/>
    <w:qFormat/>
    <w:pPr>
      <w:jc w:val="left"/>
      <w:keepLines/>
      <w:keepNext/>
      <w:widowControl/>
      <w:tabs>
        <w:tab w:val="left" w:pos="525" w:leader="none"/>
      </w:tabs>
      <w:outlineLvl w:val="3"/>
    </w:pPr>
    <w:rPr>
      <w:rFonts w:ascii="微软雅黑" w:hAnsi="微软雅黑" w:eastAsia="微软雅黑"/>
      <w:b/>
      <w:bCs/>
      <w:szCs w:val="24"/>
    </w:rPr>
  </w:style>
  <w:style w:type="paragraph" w:styleId="1086" w:customStyle="1">
    <w:name w:val="Default"/>
    <w:uiPriority w:val="0"/>
    <w:qFormat/>
    <w:pPr>
      <w:widowControl w:val="off"/>
    </w:pPr>
    <w:rPr>
      <w:rFonts w:ascii="宋体" w:hAnsi="Calibri" w:eastAsia="宋体" w:cs="宋体"/>
      <w:color w:val="000000"/>
      <w:sz w:val="24"/>
      <w:szCs w:val="24"/>
      <w:lang w:val="en-US" w:eastAsia="zh-CN" w:bidi="ar-SA"/>
    </w:rPr>
  </w:style>
  <w:style w:type="paragraph" w:styleId="1087" w:customStyle="1">
    <w:name w:val="彩色列表 - 强调文字颜色 11"/>
    <w:basedOn w:val="805"/>
    <w:uiPriority w:val="99"/>
    <w:qFormat/>
    <w:pPr>
      <w:ind w:firstLine="420"/>
    </w:pPr>
  </w:style>
  <w:style w:type="character" w:styleId="1088" w:customStyle="1">
    <w:name w:val="NormalCharacter1"/>
    <w:uiPriority w:val="0"/>
    <w:qFormat/>
  </w:style>
  <w:style w:type="paragraph" w:styleId="1089" w:customStyle="1">
    <w:name w:val="索引 411"/>
    <w:basedOn w:val="805"/>
    <w:next w:val="805"/>
    <w:uiPriority w:val="99"/>
    <w:unhideWhenUsed/>
    <w:qFormat/>
    <w:pPr>
      <w:ind w:left="600"/>
    </w:pPr>
  </w:style>
  <w:style w:type="paragraph" w:styleId="1090" w:customStyle="1">
    <w:name w:val="正文格式"/>
    <w:basedOn w:val="805"/>
    <w:uiPriority w:val="0"/>
    <w:qFormat/>
    <w:pPr>
      <w:ind w:left="178" w:right="44" w:hanging="178"/>
      <w:jc w:val="left"/>
      <w:spacing w:line="360" w:lineRule="auto"/>
      <w:widowControl/>
    </w:pPr>
    <w:rPr>
      <w:rFonts w:ascii="Trebuchet MS" w:hAnsi="Trebuchet MS" w:eastAsia="等线" w:cs="Tahoma"/>
      <w:bCs/>
      <w:szCs w:val="21"/>
    </w:rPr>
  </w:style>
  <w:style w:type="paragraph" w:styleId="1091" w:customStyle="1">
    <w:name w:val="标题1，章节第一层"/>
    <w:basedOn w:val="1090"/>
    <w:next w:val="1090"/>
    <w:uiPriority w:val="0"/>
    <w:qFormat/>
    <w:pPr>
      <w:ind w:left="272" w:hanging="272"/>
      <w:jc w:val="center"/>
      <w:tabs>
        <w:tab w:val="left" w:pos="693" w:leader="none"/>
      </w:tabs>
      <w:outlineLvl w:val="0"/>
    </w:pPr>
    <w:rPr>
      <w:rFonts w:eastAsia="ˎ̥"/>
      <w:color w:val="000000"/>
      <w:sz w:val="32"/>
      <w:szCs w:val="24"/>
      <w:lang w:val="zh-CN"/>
    </w:rPr>
  </w:style>
  <w:style w:type="character" w:styleId="1092" w:customStyle="1">
    <w:name w:val="未处理的提及1"/>
    <w:uiPriority w:val="99"/>
    <w:unhideWhenUsed/>
    <w:qFormat/>
    <w:rPr>
      <w:color w:val="605e5c"/>
      <w:shd w:val="clear" w:color="auto" w:fill="e1dfdd"/>
    </w:rPr>
  </w:style>
  <w:style w:type="paragraph" w:styleId="1093" w:customStyle="1">
    <w:name w:val="普通(网站)1"/>
    <w:basedOn w:val="805"/>
    <w:uiPriority w:val="0"/>
    <w:qFormat/>
    <w:pPr>
      <w:jc w:val="left"/>
      <w:spacing w:before="100" w:beforeAutospacing="1" w:after="100" w:afterAutospacing="1"/>
      <w:widowControl/>
    </w:pPr>
    <w:rPr>
      <w:rFonts w:ascii="宋体" w:hAnsi="Times New Roman" w:cs="宋体"/>
      <w:sz w:val="24"/>
      <w:szCs w:val="24"/>
    </w:rPr>
  </w:style>
  <w:style w:type="paragraph" w:styleId="1094" w:customStyle="1">
    <w:name w:val="msonormal"/>
    <w:basedOn w:val="805"/>
    <w:uiPriority w:val="0"/>
    <w:qFormat/>
    <w:pPr>
      <w:jc w:val="left"/>
      <w:spacing w:before="100" w:beforeAutospacing="1" w:after="100" w:afterAutospacing="1"/>
      <w:widowControl/>
    </w:pPr>
    <w:rPr>
      <w:rFonts w:ascii="宋体" w:hAnsi="宋体" w:cs="宋体"/>
      <w:sz w:val="24"/>
      <w:szCs w:val="24"/>
    </w:rPr>
  </w:style>
  <w:style w:type="paragraph" w:styleId="1095" w:customStyle="1">
    <w:name w:val="font5"/>
    <w:basedOn w:val="805"/>
    <w:uiPriority w:val="0"/>
    <w:qFormat/>
    <w:pPr>
      <w:jc w:val="left"/>
      <w:spacing w:before="100" w:beforeAutospacing="1" w:after="100" w:afterAutospacing="1"/>
      <w:widowControl/>
    </w:pPr>
    <w:rPr>
      <w:rFonts w:ascii="宋体" w:hAnsi="宋体" w:cs="宋体"/>
      <w:sz w:val="18"/>
      <w:szCs w:val="18"/>
    </w:rPr>
  </w:style>
  <w:style w:type="paragraph" w:styleId="1096" w:customStyle="1">
    <w:name w:val="xl65"/>
    <w:basedOn w:val="80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097" w:customStyle="1">
    <w:name w:val="xl66"/>
    <w:basedOn w:val="80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98" w:customStyle="1">
    <w:name w:val="xl67"/>
    <w:basedOn w:val="80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99" w:customStyle="1">
    <w:name w:val="xl68"/>
    <w:basedOn w:val="80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6"/>
      <w:szCs w:val="16"/>
    </w:rPr>
  </w:style>
  <w:style w:type="paragraph" w:styleId="1100" w:customStyle="1">
    <w:name w:val="xl69"/>
    <w:basedOn w:val="80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101" w:customStyle="1">
    <w:name w:val="xl70"/>
    <w:basedOn w:val="805"/>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102" w:customStyle="1">
    <w:name w:val="xl71"/>
    <w:basedOn w:val="805"/>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6"/>
      <w:szCs w:val="16"/>
    </w:rPr>
  </w:style>
  <w:style w:type="paragraph" w:styleId="1103" w:customStyle="1">
    <w:name w:val="xl72"/>
    <w:basedOn w:val="80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04" w:customStyle="1">
    <w:name w:val="寄信人地址11"/>
    <w:basedOn w:val="805"/>
    <w:uiPriority w:val="0"/>
    <w:qFormat/>
    <w:rPr>
      <w:rFonts w:ascii="Arial" w:hAnsi="Arial"/>
    </w:rPr>
  </w:style>
  <w:style w:type="paragraph" w:styleId="1105" w:customStyle="1">
    <w:name w:val="正文_20"/>
    <w:uiPriority w:val="0"/>
    <w:qFormat/>
    <w:pPr>
      <w:jc w:val="both"/>
      <w:widowControl w:val="off"/>
    </w:pPr>
    <w:rPr>
      <w:rFonts w:ascii="Times New Roman" w:hAnsi="Times New Roman" w:eastAsia="宋体" w:cs="Times New Roman"/>
      <w:sz w:val="21"/>
      <w:szCs w:val="22"/>
      <w:lang w:val="en-US" w:eastAsia="zh-CN" w:bidi="ar-SA"/>
    </w:rPr>
  </w:style>
  <w:style w:type="paragraph" w:styleId="1106" w:customStyle="1">
    <w:name w:val="Normal_0_2"/>
    <w:uiPriority w:val="0"/>
    <w:qFormat/>
    <w:rPr>
      <w:rFonts w:ascii="黑体" w:hAnsi="黑体" w:eastAsia="黑体" w:cs="Times New Roman"/>
      <w:b/>
      <w:sz w:val="32"/>
      <w:szCs w:val="24"/>
      <w:lang w:val="en-US" w:eastAsia="zh-CN" w:bidi="ar-SA"/>
    </w:rPr>
  </w:style>
  <w:style w:type="paragraph" w:styleId="1107" w:customStyle="1">
    <w:name w:val="正文_0_0_1"/>
    <w:uiPriority w:val="0"/>
    <w:qFormat/>
    <w:pPr>
      <w:jc w:val="both"/>
      <w:widowControl w:val="off"/>
    </w:pPr>
    <w:rPr>
      <w:rFonts w:ascii="Times New Roman" w:hAnsi="Times New Roman" w:eastAsia="宋体" w:cs="Times New Roman"/>
      <w:sz w:val="21"/>
      <w:szCs w:val="24"/>
      <w:lang w:val="en-US" w:eastAsia="zh-CN" w:bidi="ar-SA"/>
    </w:rPr>
  </w:style>
  <w:style w:type="paragraph" w:styleId="1108" w:customStyle="1">
    <w:name w:val="Normal_1_2"/>
    <w:uiPriority w:val="0"/>
    <w:qFormat/>
    <w:rPr>
      <w:rFonts w:ascii="Times New Roman" w:hAnsi="Times New Roman" w:eastAsia="Times New Roman" w:cs="Times New Roman"/>
      <w:sz w:val="24"/>
      <w:szCs w:val="24"/>
      <w:lang w:val="en-US" w:eastAsia="zh-CN" w:bidi="ar-SA"/>
    </w:rPr>
  </w:style>
  <w:style w:type="paragraph" w:styleId="1109" w:customStyle="1">
    <w:name w:val="Normal_0_1"/>
    <w:uiPriority w:val="0"/>
    <w:qFormat/>
    <w:rPr>
      <w:rFonts w:ascii="黑体" w:hAnsi="黑体" w:eastAsia="黑体" w:cs="Times New Roman"/>
      <w:b/>
      <w:sz w:val="32"/>
      <w:szCs w:val="24"/>
      <w:lang w:val="en-US" w:eastAsia="zh-CN" w:bidi="ar-SA"/>
    </w:rPr>
  </w:style>
  <w:style w:type="paragraph" w:styleId="1110" w:customStyle="1">
    <w:name w:val="正文_16"/>
    <w:uiPriority w:val="0"/>
    <w:qFormat/>
    <w:pPr>
      <w:jc w:val="both"/>
      <w:widowControl w:val="off"/>
    </w:pPr>
    <w:rPr>
      <w:rFonts w:ascii="Times New Roman" w:hAnsi="Times New Roman" w:eastAsia="宋体" w:cs="Times New Roman"/>
      <w:sz w:val="21"/>
      <w:szCs w:val="22"/>
      <w:lang w:val="en-US" w:eastAsia="zh-CN" w:bidi="ar-SA"/>
    </w:rPr>
  </w:style>
  <w:style w:type="paragraph" w:styleId="1111" w:customStyle="1">
    <w:name w:val="Normal_1_1"/>
    <w:uiPriority w:val="0"/>
    <w:qFormat/>
    <w:rPr>
      <w:rFonts w:ascii="黑体" w:hAnsi="黑体" w:eastAsia="黑体" w:cs="Times New Roman"/>
      <w:b/>
      <w:sz w:val="32"/>
      <w:szCs w:val="24"/>
      <w:lang w:val="en-US" w:eastAsia="zh-CN" w:bidi="ar-SA"/>
    </w:rPr>
  </w:style>
  <w:style w:type="paragraph" w:styleId="1112" w:customStyle="1">
    <w:name w:val="Normal_2_0"/>
    <w:uiPriority w:val="0"/>
    <w:qFormat/>
    <w:rPr>
      <w:rFonts w:ascii="黑体" w:hAnsi="黑体" w:eastAsia="黑体" w:cs="Times New Roman"/>
      <w:b/>
      <w:sz w:val="32"/>
      <w:szCs w:val="24"/>
      <w:lang w:val="en-US" w:eastAsia="zh-CN" w:bidi="ar-SA"/>
    </w:rPr>
  </w:style>
  <w:style w:type="paragraph" w:styleId="1113" w:customStyle="1">
    <w:name w:val="正文_2_0"/>
    <w:uiPriority w:val="0"/>
    <w:qFormat/>
    <w:pPr>
      <w:jc w:val="both"/>
      <w:widowControl w:val="off"/>
    </w:pPr>
    <w:rPr>
      <w:rFonts w:ascii="Times New Roman" w:hAnsi="Times New Roman" w:eastAsia="宋体" w:cs="Times New Roman"/>
      <w:sz w:val="21"/>
      <w:szCs w:val="22"/>
      <w:lang w:val="en-US" w:eastAsia="zh-CN" w:bidi="ar-SA"/>
    </w:rPr>
  </w:style>
  <w:style w:type="paragraph" w:styleId="1114" w:customStyle="1">
    <w:name w:val="Normal_3_0"/>
    <w:uiPriority w:val="0"/>
    <w:qFormat/>
    <w:rPr>
      <w:rFonts w:ascii="黑体" w:hAnsi="黑体" w:eastAsia="黑体" w:cs="Times New Roman"/>
      <w:b/>
      <w:sz w:val="32"/>
      <w:szCs w:val="24"/>
      <w:lang w:val="en-US" w:eastAsia="zh-CN" w:bidi="ar-SA"/>
    </w:rPr>
  </w:style>
  <w:style w:type="paragraph" w:styleId="1115" w:customStyle="1">
    <w:name w:val="正文_3_0"/>
    <w:uiPriority w:val="0"/>
    <w:qFormat/>
    <w:pPr>
      <w:jc w:val="both"/>
      <w:widowControl w:val="off"/>
    </w:pPr>
    <w:rPr>
      <w:rFonts w:ascii="Times New Roman" w:hAnsi="Times New Roman" w:eastAsia="宋体" w:cs="Times New Roman"/>
      <w:sz w:val="21"/>
      <w:szCs w:val="22"/>
      <w:lang w:val="en-US" w:eastAsia="zh-CN" w:bidi="ar-SA"/>
    </w:rPr>
  </w:style>
  <w:style w:type="paragraph" w:styleId="1116" w:customStyle="1">
    <w:name w:val="正文_4_0_0"/>
    <w:uiPriority w:val="0"/>
    <w:qFormat/>
    <w:pPr>
      <w:jc w:val="both"/>
      <w:widowControl w:val="off"/>
    </w:pPr>
    <w:rPr>
      <w:rFonts w:ascii="Times New Roman" w:hAnsi="Times New Roman" w:eastAsia="宋体" w:cs="Times New Roman"/>
      <w:sz w:val="21"/>
      <w:lang w:val="en-US" w:eastAsia="zh-CN" w:bidi="ar-SA"/>
    </w:rPr>
  </w:style>
  <w:style w:type="paragraph" w:styleId="1117" w:customStyle="1">
    <w:name w:val="正文_7_0"/>
    <w:uiPriority w:val="0"/>
    <w:qFormat/>
    <w:pPr>
      <w:jc w:val="both"/>
      <w:widowControl w:val="off"/>
    </w:pPr>
    <w:rPr>
      <w:rFonts w:ascii="Times New Roman" w:hAnsi="Times New Roman" w:eastAsia="宋体" w:cs="Times New Roman"/>
      <w:sz w:val="21"/>
      <w:szCs w:val="22"/>
      <w:lang w:val="en-US" w:eastAsia="zh-CN" w:bidi="ar-SA"/>
    </w:rPr>
  </w:style>
  <w:style w:type="paragraph" w:styleId="1118" w:customStyle="1">
    <w:name w:val="Normal_4_0"/>
    <w:uiPriority w:val="0"/>
    <w:qFormat/>
    <w:rPr>
      <w:rFonts w:ascii="黑体" w:hAnsi="黑体" w:eastAsia="黑体" w:cs="Times New Roman"/>
      <w:b/>
      <w:sz w:val="32"/>
      <w:szCs w:val="24"/>
      <w:lang w:val="en-US" w:eastAsia="zh-CN" w:bidi="ar-SA"/>
    </w:rPr>
  </w:style>
  <w:style w:type="paragraph" w:styleId="1119" w:customStyle="1">
    <w:name w:val="Normal_5_0"/>
    <w:uiPriority w:val="0"/>
    <w:qFormat/>
    <w:rPr>
      <w:rFonts w:ascii="黑体" w:hAnsi="黑体" w:eastAsia="黑体" w:cs="Times New Roman"/>
      <w:b/>
      <w:sz w:val="32"/>
      <w:szCs w:val="24"/>
      <w:lang w:val="en-US" w:eastAsia="zh-CN" w:bidi="ar-SA"/>
    </w:rPr>
  </w:style>
  <w:style w:type="paragraph" w:styleId="1120" w:customStyle="1">
    <w:name w:val="正文_4_0"/>
    <w:uiPriority w:val="0"/>
    <w:qFormat/>
    <w:pPr>
      <w:jc w:val="both"/>
      <w:widowControl w:val="off"/>
    </w:pPr>
    <w:rPr>
      <w:rFonts w:ascii="Times New Roman" w:hAnsi="Times New Roman" w:eastAsia="宋体" w:cs="Times New Roman"/>
      <w:sz w:val="21"/>
      <w:lang w:val="en-US" w:eastAsia="zh-CN" w:bidi="ar-SA"/>
    </w:rPr>
  </w:style>
  <w:style w:type="paragraph" w:styleId="1121" w:customStyle="1">
    <w:name w:val="正文_4_1"/>
    <w:uiPriority w:val="0"/>
    <w:qFormat/>
    <w:pPr>
      <w:jc w:val="both"/>
      <w:widowControl w:val="off"/>
    </w:pPr>
    <w:rPr>
      <w:rFonts w:ascii="Times New Roman" w:hAnsi="Times New Roman" w:eastAsia="宋体" w:cs="Times New Roman"/>
      <w:sz w:val="21"/>
      <w:szCs w:val="22"/>
      <w:lang w:val="en-US" w:eastAsia="zh-CN" w:bidi="ar-SA"/>
    </w:rPr>
  </w:style>
  <w:style w:type="paragraph" w:styleId="1122" w:customStyle="1">
    <w:name w:val="Normal_6_0"/>
    <w:uiPriority w:val="0"/>
    <w:qFormat/>
    <w:rPr>
      <w:rFonts w:ascii="黑体" w:hAnsi="黑体" w:eastAsia="黑体" w:cs="Times New Roman"/>
      <w:b/>
      <w:sz w:val="32"/>
      <w:szCs w:val="24"/>
      <w:lang w:val="en-US" w:eastAsia="zh-CN" w:bidi="ar-SA"/>
    </w:rPr>
  </w:style>
  <w:style w:type="paragraph" w:styleId="1123"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124"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125" w:customStyle="1">
    <w:name w:val="正文_0_0_0_0_0"/>
    <w:uiPriority w:val="0"/>
    <w:qFormat/>
    <w:pPr>
      <w:jc w:val="both"/>
      <w:widowControl w:val="off"/>
    </w:pPr>
    <w:rPr>
      <w:rFonts w:ascii="Times New Roman" w:hAnsi="Times New Roman" w:eastAsia="宋体" w:cs="Times New Roman"/>
      <w:sz w:val="21"/>
      <w:szCs w:val="22"/>
      <w:lang w:val="en-US" w:eastAsia="zh-CN" w:bidi="ar-SA"/>
    </w:rPr>
  </w:style>
  <w:style w:type="paragraph" w:styleId="1126" w:customStyle="1">
    <w:name w:val="正文_0_2"/>
    <w:uiPriority w:val="0"/>
    <w:qFormat/>
    <w:pPr>
      <w:jc w:val="both"/>
      <w:widowControl w:val="off"/>
    </w:pPr>
    <w:rPr>
      <w:rFonts w:ascii="Times New Roman" w:hAnsi="Times New Roman" w:eastAsia="宋体" w:cs="Times New Roman"/>
      <w:sz w:val="21"/>
      <w:szCs w:val="24"/>
      <w:lang w:val="en-US" w:eastAsia="zh-CN" w:bidi="ar-SA"/>
    </w:rPr>
  </w:style>
  <w:style w:type="paragraph" w:styleId="1127" w:customStyle="1">
    <w:name w:val="正文_1_0_0_0"/>
    <w:uiPriority w:val="0"/>
    <w:qFormat/>
    <w:pPr>
      <w:jc w:val="both"/>
      <w:widowControl w:val="off"/>
    </w:pPr>
    <w:rPr>
      <w:rFonts w:ascii="Times New Roman" w:hAnsi="Times New Roman" w:eastAsia="宋体" w:cs="Times New Roman"/>
      <w:sz w:val="21"/>
      <w:lang w:val="en-US" w:eastAsia="zh-CN" w:bidi="ar-SA"/>
    </w:rPr>
  </w:style>
  <w:style w:type="paragraph" w:styleId="1128" w:customStyle="1">
    <w:name w:val="正文_6_0"/>
    <w:uiPriority w:val="0"/>
    <w:qFormat/>
    <w:pPr>
      <w:jc w:val="both"/>
      <w:widowControl w:val="off"/>
    </w:pPr>
    <w:rPr>
      <w:rFonts w:ascii="Times New Roman" w:hAnsi="Times New Roman" w:eastAsia="宋体" w:cs="Times New Roman"/>
      <w:sz w:val="21"/>
      <w:szCs w:val="22"/>
      <w:lang w:val="en-US" w:eastAsia="zh-CN" w:bidi="ar-SA"/>
    </w:rPr>
  </w:style>
  <w:style w:type="paragraph" w:styleId="1129" w:customStyle="1">
    <w:name w:val="Normal_8_0"/>
    <w:uiPriority w:val="0"/>
    <w:qFormat/>
    <w:rPr>
      <w:rFonts w:ascii="黑体" w:hAnsi="黑体" w:eastAsia="黑体" w:cs="Times New Roman"/>
      <w:b/>
      <w:sz w:val="32"/>
      <w:szCs w:val="24"/>
      <w:lang w:val="en-US" w:eastAsia="zh-CN" w:bidi="ar-SA"/>
    </w:rPr>
  </w:style>
  <w:style w:type="paragraph" w:styleId="1130" w:customStyle="1">
    <w:name w:val="Normal_11_0"/>
    <w:uiPriority w:val="0"/>
    <w:qFormat/>
    <w:rPr>
      <w:rFonts w:ascii="黑体" w:hAnsi="黑体" w:eastAsia="黑体" w:cs="Times New Roman"/>
      <w:b/>
      <w:sz w:val="32"/>
      <w:szCs w:val="24"/>
      <w:lang w:val="en-US" w:eastAsia="zh-CN" w:bidi="ar-SA"/>
    </w:rPr>
  </w:style>
  <w:style w:type="paragraph" w:styleId="1131" w:customStyle="1">
    <w:name w:val="正文_11_1"/>
    <w:uiPriority w:val="0"/>
    <w:qFormat/>
    <w:pPr>
      <w:jc w:val="both"/>
      <w:widowControl w:val="off"/>
    </w:pPr>
    <w:rPr>
      <w:rFonts w:ascii="Times New Roman" w:hAnsi="Times New Roman" w:eastAsia="宋体" w:cs="Times New Roman"/>
      <w:sz w:val="21"/>
      <w:szCs w:val="22"/>
      <w:lang w:val="en-US" w:eastAsia="zh-CN" w:bidi="ar-SA"/>
    </w:rPr>
  </w:style>
  <w:style w:type="paragraph" w:styleId="1132" w:customStyle="1">
    <w:name w:val="正文_9_0_0"/>
    <w:uiPriority w:val="0"/>
    <w:qFormat/>
    <w:pPr>
      <w:jc w:val="both"/>
      <w:widowControl w:val="off"/>
    </w:pPr>
    <w:rPr>
      <w:rFonts w:ascii="Times New Roman" w:hAnsi="Times New Roman" w:eastAsia="宋体" w:cs="Times New Roman"/>
      <w:sz w:val="21"/>
      <w:szCs w:val="22"/>
      <w:lang w:val="en-US" w:eastAsia="zh-CN" w:bidi="ar-SA"/>
    </w:rPr>
  </w:style>
  <w:style w:type="paragraph" w:styleId="1133" w:customStyle="1">
    <w:name w:val="正文_10_1"/>
    <w:uiPriority w:val="0"/>
    <w:qFormat/>
    <w:pPr>
      <w:jc w:val="both"/>
      <w:widowControl w:val="off"/>
    </w:pPr>
    <w:rPr>
      <w:rFonts w:ascii="Times New Roman" w:hAnsi="Times New Roman" w:eastAsia="宋体" w:cs="Times New Roman"/>
      <w:sz w:val="21"/>
      <w:szCs w:val="22"/>
      <w:lang w:val="en-US" w:eastAsia="zh-CN" w:bidi="ar-SA"/>
    </w:rPr>
  </w:style>
  <w:style w:type="paragraph" w:styleId="1134" w:customStyle="1">
    <w:name w:val="正文_1_1_0"/>
    <w:uiPriority w:val="0"/>
    <w:qFormat/>
    <w:pPr>
      <w:jc w:val="both"/>
      <w:widowControl w:val="off"/>
    </w:pPr>
    <w:rPr>
      <w:rFonts w:ascii="Times New Roman" w:hAnsi="Times New Roman" w:eastAsia="宋体" w:cs="Times New Roman"/>
      <w:sz w:val="21"/>
      <w:szCs w:val="22"/>
      <w:lang w:val="en-US" w:eastAsia="zh-CN" w:bidi="ar-SA"/>
    </w:rPr>
  </w:style>
  <w:style w:type="paragraph" w:styleId="1135" w:customStyle="1">
    <w:name w:val="Normal_12_0"/>
    <w:uiPriority w:val="0"/>
    <w:qFormat/>
    <w:rPr>
      <w:rFonts w:ascii="黑体" w:hAnsi="黑体" w:eastAsia="黑体" w:cs="Times New Roman"/>
      <w:b/>
      <w:sz w:val="32"/>
      <w:szCs w:val="24"/>
      <w:lang w:val="en-US" w:eastAsia="zh-CN" w:bidi="ar-SA"/>
    </w:rPr>
  </w:style>
  <w:style w:type="paragraph" w:styleId="1136" w:customStyle="1">
    <w:name w:val="Normal_14_0"/>
    <w:uiPriority w:val="0"/>
    <w:qFormat/>
    <w:rPr>
      <w:rFonts w:ascii="黑体" w:hAnsi="黑体" w:eastAsia="黑体" w:cs="Times New Roman"/>
      <w:b/>
      <w:sz w:val="32"/>
      <w:szCs w:val="24"/>
      <w:lang w:val="en-US" w:eastAsia="zh-CN" w:bidi="ar-SA"/>
    </w:rPr>
  </w:style>
  <w:style w:type="paragraph" w:styleId="1137" w:customStyle="1">
    <w:name w:val="正文_14_0"/>
    <w:uiPriority w:val="0"/>
    <w:qFormat/>
    <w:pPr>
      <w:jc w:val="both"/>
      <w:widowControl w:val="off"/>
    </w:pPr>
    <w:rPr>
      <w:rFonts w:ascii="Times New Roman" w:hAnsi="Times New Roman" w:eastAsia="宋体" w:cs="Times New Roman"/>
      <w:sz w:val="21"/>
      <w:szCs w:val="22"/>
      <w:lang w:val="en-US" w:eastAsia="zh-CN" w:bidi="ar-SA"/>
    </w:rPr>
  </w:style>
  <w:style w:type="paragraph" w:styleId="1138"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139" w:customStyle="1">
    <w:name w:val="段"/>
    <w:next w:val="805"/>
    <w:uiPriority w:val="0"/>
    <w:qFormat/>
    <w:pPr>
      <w:ind w:firstLine="200"/>
      <w:jc w:val="both"/>
    </w:pPr>
    <w:rPr>
      <w:rFonts w:ascii="宋体" w:hAnsi="Times New Roman" w:eastAsia="宋体" w:cs="Times New Roman"/>
      <w:sz w:val="21"/>
      <w:lang w:val="en-US" w:eastAsia="zh-CN" w:bidi="ar-SA"/>
    </w:rPr>
  </w:style>
  <w:style w:type="paragraph" w:styleId="1140" w:customStyle="1">
    <w:name w:val="Normal_15_0"/>
    <w:uiPriority w:val="0"/>
    <w:qFormat/>
    <w:rPr>
      <w:rFonts w:ascii="黑体" w:hAnsi="黑体" w:eastAsia="黑体" w:cs="Times New Roman"/>
      <w:b/>
      <w:sz w:val="32"/>
      <w:szCs w:val="24"/>
      <w:lang w:val="en-US" w:eastAsia="zh-CN" w:bidi="ar-SA"/>
    </w:rPr>
  </w:style>
  <w:style w:type="paragraph" w:styleId="1141" w:customStyle="1">
    <w:name w:val="正文_10_1_0"/>
    <w:uiPriority w:val="0"/>
    <w:qFormat/>
    <w:pPr>
      <w:jc w:val="both"/>
      <w:widowControl w:val="off"/>
    </w:pPr>
    <w:rPr>
      <w:rFonts w:ascii="Times New Roman" w:hAnsi="Times New Roman" w:eastAsia="宋体" w:cs="Times New Roman"/>
      <w:sz w:val="21"/>
      <w:szCs w:val="24"/>
      <w:lang w:val="en-US" w:eastAsia="zh-CN" w:bidi="ar-SA"/>
    </w:rPr>
  </w:style>
  <w:style w:type="paragraph" w:styleId="1142" w:customStyle="1">
    <w:name w:val="Normal_17_0"/>
    <w:uiPriority w:val="0"/>
    <w:qFormat/>
    <w:rPr>
      <w:rFonts w:ascii="黑体" w:hAnsi="黑体" w:eastAsia="黑体" w:cs="Times New Roman"/>
      <w:b/>
      <w:sz w:val="32"/>
      <w:szCs w:val="24"/>
      <w:lang w:val="en-US" w:eastAsia="zh-CN" w:bidi="ar-SA"/>
    </w:rPr>
  </w:style>
  <w:style w:type="paragraph" w:styleId="1143" w:customStyle="1">
    <w:name w:val="正文_18"/>
    <w:uiPriority w:val="0"/>
    <w:qFormat/>
    <w:pPr>
      <w:jc w:val="both"/>
      <w:widowControl w:val="off"/>
    </w:pPr>
    <w:rPr>
      <w:rFonts w:ascii="Times New Roman" w:hAnsi="Times New Roman" w:eastAsia="宋体" w:cs="Times New Roman"/>
      <w:sz w:val="21"/>
      <w:szCs w:val="22"/>
      <w:lang w:val="en-US" w:eastAsia="zh-CN" w:bidi="ar-SA"/>
    </w:rPr>
  </w:style>
  <w:style w:type="paragraph" w:styleId="1144"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145" w:customStyle="1">
    <w:name w:val="Normal_18_0"/>
    <w:uiPriority w:val="0"/>
    <w:qFormat/>
    <w:rPr>
      <w:rFonts w:ascii="黑体" w:hAnsi="黑体" w:eastAsia="黑体" w:cs="Times New Roman"/>
      <w:b/>
      <w:sz w:val="32"/>
      <w:szCs w:val="24"/>
      <w:lang w:val="en-US" w:eastAsia="zh-CN" w:bidi="ar-SA"/>
    </w:rPr>
  </w:style>
  <w:style w:type="paragraph" w:styleId="1146" w:customStyle="1">
    <w:name w:val="正文_19"/>
    <w:uiPriority w:val="0"/>
    <w:qFormat/>
    <w:pPr>
      <w:jc w:val="both"/>
      <w:widowControl w:val="off"/>
    </w:pPr>
    <w:rPr>
      <w:rFonts w:ascii="Times New Roman" w:hAnsi="Times New Roman" w:eastAsia="宋体" w:cs="Times New Roman"/>
      <w:sz w:val="21"/>
      <w:szCs w:val="22"/>
      <w:lang w:val="en-US" w:eastAsia="zh-CN" w:bidi="ar-SA"/>
    </w:rPr>
  </w:style>
  <w:style w:type="character" w:styleId="1147" w:customStyle="1">
    <w:name w:val="font12"/>
    <w:uiPriority w:val="0"/>
    <w:qFormat/>
    <w:rPr>
      <w:rFonts w:hint="eastAsia" w:ascii="宋体" w:hAnsi="宋体" w:eastAsia="宋体" w:cs="宋体"/>
      <w:b/>
      <w:bCs/>
      <w:color w:val="000000"/>
      <w:sz w:val="36"/>
      <w:szCs w:val="36"/>
      <w:u w:val="none"/>
    </w:rPr>
  </w:style>
  <w:style w:type="character" w:styleId="1148" w:customStyle="1">
    <w:name w:val="font81"/>
    <w:uiPriority w:val="0"/>
    <w:qFormat/>
    <w:rPr>
      <w:rFonts w:hint="eastAsia" w:ascii="宋体" w:hAnsi="宋体" w:eastAsia="宋体" w:cs="宋体"/>
      <w:b/>
      <w:bCs/>
      <w:color w:val="000000"/>
      <w:sz w:val="20"/>
      <w:szCs w:val="20"/>
      <w:u w:val="none"/>
    </w:rPr>
  </w:style>
  <w:style w:type="character" w:styleId="1149" w:customStyle="1">
    <w:name w:val="font61"/>
    <w:uiPriority w:val="0"/>
    <w:qFormat/>
    <w:rPr>
      <w:rFonts w:hint="default" w:ascii="Times New Roman" w:hAnsi="Times New Roman" w:cs="Times New Roman"/>
      <w:color w:val="000000"/>
      <w:sz w:val="20"/>
      <w:szCs w:val="20"/>
      <w:u w:val="none"/>
    </w:rPr>
  </w:style>
  <w:style w:type="character" w:styleId="1150" w:customStyle="1">
    <w:name w:val="font41"/>
    <w:uiPriority w:val="0"/>
    <w:qFormat/>
    <w:rPr>
      <w:rFonts w:hint="default" w:ascii="Times New Roman" w:hAnsi="Times New Roman" w:cs="Times New Roman"/>
      <w:color w:val="000000"/>
      <w:sz w:val="20"/>
      <w:szCs w:val="20"/>
      <w:u w:val="none"/>
    </w:rPr>
  </w:style>
  <w:style w:type="character" w:styleId="1151" w:customStyle="1">
    <w:name w:val="font91"/>
    <w:uiPriority w:val="0"/>
    <w:qFormat/>
    <w:rPr>
      <w:rFonts w:hint="eastAsia" w:ascii="宋体" w:hAnsi="宋体" w:eastAsia="宋体" w:cs="宋体"/>
      <w:b/>
      <w:bCs/>
      <w:color w:val="000000"/>
      <w:sz w:val="36"/>
      <w:szCs w:val="36"/>
      <w:u w:val="none"/>
    </w:rPr>
  </w:style>
  <w:style w:type="character" w:styleId="1152" w:customStyle="1">
    <w:name w:val="font101"/>
    <w:uiPriority w:val="0"/>
    <w:qFormat/>
    <w:rPr>
      <w:rFonts w:hint="eastAsia" w:ascii="宋体" w:hAnsi="宋体" w:eastAsia="宋体" w:cs="宋体"/>
      <w:b/>
      <w:bCs/>
      <w:color w:val="000000"/>
      <w:sz w:val="20"/>
      <w:szCs w:val="20"/>
      <w:u w:val="none"/>
    </w:rPr>
  </w:style>
  <w:style w:type="character" w:styleId="1153" w:customStyle="1">
    <w:name w:val="font111"/>
    <w:uiPriority w:val="0"/>
    <w:qFormat/>
    <w:rPr>
      <w:rFonts w:hint="default" w:ascii="Times New Roman" w:hAnsi="Times New Roman" w:cs="Times New Roman"/>
      <w:color w:val="000000"/>
      <w:sz w:val="20"/>
      <w:szCs w:val="20"/>
      <w:u w:val="none"/>
      <w:vertAlign w:val="superscript"/>
    </w:rPr>
  </w:style>
  <w:style w:type="character" w:styleId="1154" w:customStyle="1">
    <w:name w:val="font71"/>
    <w:uiPriority w:val="0"/>
    <w:qFormat/>
    <w:rPr>
      <w:rFonts w:hint="default" w:ascii="Times New Roman" w:hAnsi="Times New Roman" w:cs="Times New Roman"/>
      <w:b/>
      <w:bCs/>
      <w:color w:val="000000"/>
      <w:sz w:val="20"/>
      <w:szCs w:val="20"/>
      <w:u w:val="none"/>
    </w:rPr>
  </w:style>
  <w:style w:type="character" w:styleId="1155" w:customStyle="1">
    <w:name w:val="font112"/>
    <w:uiPriority w:val="0"/>
    <w:qFormat/>
    <w:rPr>
      <w:rFonts w:hint="default" w:ascii="Times New Roman" w:hAnsi="Times New Roman" w:cs="Times New Roman"/>
      <w:color w:val="000000"/>
      <w:sz w:val="20"/>
      <w:szCs w:val="20"/>
      <w:u w:val="none"/>
      <w:vertAlign w:val="superscript"/>
    </w:rPr>
  </w:style>
  <w:style w:type="character" w:styleId="1156" w:customStyle="1">
    <w:name w:val="font121"/>
    <w:uiPriority w:val="0"/>
    <w:qFormat/>
    <w:rPr>
      <w:rFonts w:hint="eastAsia" w:ascii="宋体" w:hAnsi="宋体" w:eastAsia="宋体" w:cs="宋体"/>
      <w:b/>
      <w:bCs/>
      <w:color w:val="000000"/>
      <w:sz w:val="20"/>
      <w:szCs w:val="20"/>
      <w:u w:val="none"/>
    </w:rPr>
  </w:style>
  <w:style w:type="character" w:styleId="1157" w:customStyle="1">
    <w:name w:val="font131"/>
    <w:uiPriority w:val="0"/>
    <w:qFormat/>
    <w:rPr>
      <w:rFonts w:hint="default" w:ascii="Times New Roman" w:hAnsi="Times New Roman" w:cs="Times New Roman"/>
      <w:color w:val="000000"/>
      <w:sz w:val="20"/>
      <w:szCs w:val="20"/>
      <w:u w:val="none"/>
      <w:vertAlign w:val="superscript"/>
    </w:rPr>
  </w:style>
  <w:style w:type="character" w:styleId="1158" w:customStyle="1">
    <w:name w:val="font141"/>
    <w:uiPriority w:val="0"/>
    <w:qFormat/>
    <w:rPr>
      <w:rFonts w:hint="default" w:ascii="Times New Roman" w:hAnsi="Times New Roman" w:cs="Times New Roman"/>
      <w:color w:val="000000"/>
      <w:sz w:val="20"/>
      <w:szCs w:val="20"/>
      <w:u w:val="none"/>
      <w:vertAlign w:val="superscript"/>
    </w:rPr>
  </w:style>
  <w:style w:type="numbering" w:styleId="11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png"/><Relationship Id="rId15"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甘雯</cp:lastModifiedBy>
  <cp:revision>70</cp:revision>
  <dcterms:created xsi:type="dcterms:W3CDTF">2024-08-06T09:43:00Z</dcterms:created>
  <dcterms:modified xsi:type="dcterms:W3CDTF">2025-12-09T08:06:36Z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eyJoZGlkIjoiYmFiOGEzM2Y2Mjk3N2IzM2IzMGY4YWRmYjgzNmU3YTkiLCJ1c2VySWQiOiIxNjI2Mjc3Nzk5In0=</vt:lpwstr>
  </property>
  <property fmtid="{D5CDD505-2E9C-101B-9397-08002B2CF9AE}" pid="3" name="KSOProductBuildVer">
    <vt:lpwstr>2052-12.1.0.24034</vt:lpwstr>
  </property>
  <property fmtid="{D5CDD505-2E9C-101B-9397-08002B2CF9AE}" pid="4" name="ICV">
    <vt:lpwstr>B9FF04C21F72461C9EC4A4519125E09E_13</vt:lpwstr>
  </property>
</Properties>
</file>